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505" w:tblpY="-104"/>
        <w:tblOverlap w:val="never"/>
        <w:tblW w:w="9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250"/>
      </w:tblGrid>
      <w:tr>
        <w:trPr>
          <w:trHeight w:val="400" w:hRule="atLeast"/>
        </w:trPr>
        <w:tc>
          <w:tcPr>
            <w:tcW w:w="9936"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50"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50"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pPr w:leftFromText="0" w:rightFromText="0" w:topFromText="0" w:bottomFromText="0" w:vertAnchor="text" w:horzAnchor="margin" w:tblpX="-578" w:tblpY="45"/>
        <w:tblOverlap w:val="never"/>
        <w:tblW w:w="99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魚沼市長　内田　幹夫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w:t>
      </w:r>
      <w:bookmarkStart w:id="0" w:name="_GoBack"/>
      <w:bookmarkEnd w:id="0"/>
      <w:r>
        <w:rPr>
          <w:rFonts w:hint="eastAsia" w:ascii="ＭＳ ゴシック" w:hAnsi="ＭＳ ゴシック" w:eastAsia="ＭＳ ゴシック"/>
          <w:color w:val="000000"/>
          <w:kern w:val="0"/>
        </w:rPr>
        <w:t>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魚商第　　　　号</w:t>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令和　年　　月　　日</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申請のとおり、相違ないことを認定します。</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default" w:ascii="ＭＳ ゴシック" w:hAnsi="ＭＳ ゴシック" w:eastAsia="ＭＳ ゴシック"/>
          <w:kern w:val="0"/>
        </w:rPr>
        <w:tab/>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（注）本認定書の有効期間　：令和　年　　月　　日から令和　年　　月　　日まで</w:t>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ab/>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eastAsia" w:ascii="ＭＳ ゴシック" w:hAnsi="ＭＳ ゴシック" w:eastAsia="ＭＳ ゴシック"/>
          <w:kern w:val="0"/>
        </w:rPr>
        <w:t>　　　</w:t>
      </w:r>
      <w:r>
        <w:rPr>
          <w:rFonts w:hint="eastAsia" w:ascii="ＭＳ ゴシック" w:hAnsi="ＭＳ ゴシック" w:eastAsia="ＭＳ ゴシック"/>
          <w:kern w:val="0"/>
        </w:rPr>
        <w:tab/>
      </w:r>
      <w:r>
        <w:rPr>
          <w:rFonts w:hint="eastAsia" w:ascii="ＭＳ ゴシック" w:hAnsi="ＭＳ ゴシック" w:eastAsia="ＭＳ ゴシック"/>
          <w:kern w:val="0"/>
        </w:rPr>
        <w:t>　　　　　　　　　　</w:t>
      </w:r>
      <w:r>
        <w:rPr>
          <w:rFonts w:hint="eastAsia" w:ascii="ＭＳ ゴシック" w:hAnsi="ＭＳ ゴシック" w:eastAsia="ＭＳ ゴシック"/>
          <w:kern w:val="0"/>
          <w:sz w:val="22"/>
        </w:rPr>
        <w:t>魚沼市長　内田　幹夫　　印</w:t>
      </w:r>
    </w:p>
    <w:p>
      <w:pPr>
        <w:pStyle w:val="0"/>
        <w:widowControl w:val="1"/>
        <w:jc w:val="right"/>
        <w:rPr>
          <w:rFonts w:hint="default"/>
        </w:rPr>
      </w:pPr>
    </w:p>
    <w:sectPr>
      <w:pgSz w:w="11906" w:h="16838"/>
      <w:pgMar w:top="1445" w:right="1701" w:bottom="993"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Words>
  <Characters>650</Characters>
  <Application>JUST Note</Application>
  <Lines>57</Lines>
  <Paragraphs>31</Paragraphs>
  <CharactersWithSpaces>997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2022-09-26T06:37:01Z</cp:lastPrinted>
  <dcterms:modified xsi:type="dcterms:W3CDTF">2021-07-28T05:04:55Z</dcterms:modified>
  <cp:revision>0</cp:revision>
</cp:coreProperties>
</file>