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様式第４―</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②</w:t>
      </w:r>
    </w:p>
    <w:tbl>
      <w:tblPr>
        <w:tblStyle w:val="11"/>
        <w:tblW w:w="894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2"/>
      </w:tblGrid>
      <w:tr>
        <w:trPr>
          <w:trHeight w:val="9430" w:hRule="atLeast"/>
        </w:trPr>
        <w:tc>
          <w:tcPr>
            <w:tcW w:w="8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sz w:val="21"/>
                <w:highlight w:val="none"/>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魚沼市長　内田　幹夫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申請者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u w:val="single" w:color="auto"/>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p>
          <w:p>
            <w:pPr>
              <w:pStyle w:val="0"/>
              <w:suppressAutoHyphens w:val="1"/>
              <w:kinsoku w:val="0"/>
              <w:wordWrap w:val="0"/>
              <w:overflowPunct w:val="0"/>
              <w:autoSpaceDE w:val="0"/>
              <w:autoSpaceDN w:val="0"/>
              <w:adjustRightInd w:val="0"/>
              <w:spacing w:line="240" w:lineRule="exact"/>
              <w:ind w:firstLine="3990" w:firstLineChars="19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氏　名</w:t>
            </w:r>
            <w:r>
              <w:rPr>
                <w:rFonts w:hint="default" w:ascii="ＭＳ ゴシック" w:hAnsi="ＭＳ ゴシック" w:eastAsia="ＭＳ ゴシック"/>
                <w:color w:val="000000"/>
                <w:kern w:val="0"/>
                <w:highlight w:val="none"/>
                <w:u w:val="single" w:color="auto"/>
              </w:rPr>
              <w:t xml:space="preserve"> </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auto"/>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ind w:left="210" w:hanging="210" w:hangingChars="1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私は、</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１　事業開始年月日</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２</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（イ）最近１か月間の売上高等</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spacing w:val="16"/>
                <w:kern w:val="0"/>
                <w:highlight w:val="none"/>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100</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Ｂ：災害等の発生直前３か月間における月平均売上高等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（ロ）最近３か月間の売上高等の実績見込み</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spacing w:val="16"/>
                <w:kern w:val="0"/>
                <w:highlight w:val="none"/>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auto"/>
              </w:rPr>
              <w:t>Ｄ</w:t>
            </w:r>
            <w:r>
              <w:rPr>
                <w:rFonts w:hint="eastAsia" w:ascii="ＭＳ ゴシック" w:hAnsi="ＭＳ ゴシック" w:eastAsia="ＭＳ ゴシック"/>
                <w:color w:val="000000"/>
                <w:kern w:val="0"/>
                <w:highlight w:val="none"/>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Ｄ</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100</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減少率</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Ｄ：災害等の発生直前３か月間の売上高等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highlight w:val="none"/>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6" w:lineRule="exact"/>
        <w:ind w:leftChars="0" w:hanging="630" w:hangingChars="3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②　本認定とは別に、金融機関及び信用保証協会による金融上の審査があります。</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　③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bookmarkStart w:id="0" w:name="_GoBack"/>
      <w:bookmarkEnd w:id="0"/>
    </w:p>
    <w:p>
      <w:pPr>
        <w:pStyle w:val="0"/>
        <w:suppressAutoHyphens w:val="1"/>
        <w:wordWrap w:val="0"/>
        <w:ind w:left="424" w:hanging="424" w:hangingChars="202"/>
        <w:jc w:val="left"/>
        <w:textAlignment w:val="baseline"/>
        <w:rPr>
          <w:rFonts w:hint="default" w:ascii="ＭＳ ゴシック" w:hAnsi="ＭＳ ゴシック" w:eastAsia="ＭＳ ゴシック"/>
          <w:color w:val="000000"/>
          <w:kern w:val="0"/>
          <w:highlight w:val="none"/>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26670</wp:posOffset>
                </wp:positionH>
                <wp:positionV relativeFrom="paragraph">
                  <wp:posOffset>76835</wp:posOffset>
                </wp:positionV>
                <wp:extent cx="5687695" cy="127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5687695" cy="127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flip:y;mso-wrap-distance-right:5.65pt;mso-wrap-distance-bottom:0pt;mso-position-vertical-relative:text;mso-position-horizontal-relative:text;position:absolute;mso-wrap-distance-left:5.65pt;z-index:5;" o:allowincell="t" o:allowoverlap="t" filled="f" stroked="t" strokecolor="#000000" strokeweight="0.5pt" o:spt="20" from="2.1pt,6.0500000000000007pt" to="449.95000000000005pt,6.15pt">
                <v:fill/>
                <v:stroke linestyle="single" endcap="flat" dashstyle="shortdash" filltype="solid"/>
                <v:textbox style="layout-flow:horizontal;"/>
                <v:imagedata o:title=""/>
                <w10:wrap type="none" anchorx="text" anchory="text"/>
              </v:line>
            </w:pict>
          </mc:Fallback>
        </mc:AlternateConten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日から令和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日まで）</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eastAsia" w:ascii="ＭＳ ゴシック" w:hAnsi="ＭＳ ゴシック" w:eastAsia="ＭＳ ゴシック"/>
          <w:kern w:val="0"/>
          <w:highlight w:val="none"/>
        </w:rPr>
        <w:t>　　　　　</w:t>
      </w:r>
      <w:r>
        <w:rPr>
          <w:rFonts w:hint="eastAsia" w:ascii="ＭＳ ゴシック" w:hAnsi="ＭＳ ゴシック" w:eastAsia="ＭＳ ゴシック"/>
          <w:kern w:val="0"/>
          <w:highlight w:val="none"/>
        </w:rPr>
        <w:tab/>
      </w:r>
    </w:p>
    <w:p>
      <w:pPr>
        <w:pStyle w:val="0"/>
        <w:suppressAutoHyphens w:val="1"/>
        <w:wordWrap w:val="0"/>
        <w:ind w:left="420" w:leftChars="200" w:firstLine="5280" w:firstLineChars="240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kern w:val="0"/>
          <w:sz w:val="22"/>
          <w:highlight w:val="none"/>
        </w:rPr>
        <w:t>魚沼市長　内田　幹夫　　印</w:t>
      </w:r>
    </w:p>
    <w:sectPr>
      <w:headerReference r:id="rId5" w:type="default"/>
      <w:pgSz w:w="11906" w:h="16838"/>
      <w:pgMar w:top="1304" w:right="1531" w:bottom="1304" w:left="153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2</Words>
  <Characters>590</Characters>
  <Application>JUST Note</Application>
  <Lines>54</Lines>
  <Paragraphs>36</Paragraphs>
  <CharactersWithSpaces>1281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2021-07-28T05:00:25Z</cp:lastPrinted>
  <dcterms:modified xsi:type="dcterms:W3CDTF">2024-11-19T23:42:23Z</dcterms:modified>
  <cp:revision>3</cp:revision>
</cp:coreProperties>
</file>