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令和７年度消雪促進対策事業の申出書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魚沼農業協同組合　御中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5520" w:firstLineChars="23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firstLine="5760" w:firstLineChars="24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住所　</w:t>
      </w:r>
      <w:r>
        <w:rPr>
          <w:rFonts w:hint="eastAsia"/>
          <w:sz w:val="24"/>
          <w:u w:val="single" w:color="auto"/>
        </w:rPr>
        <w:t>魚沼市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5760" w:firstLineChars="24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ind w:firstLine="5760" w:firstLineChars="240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令和７年度消雪促進対策事業に必要な書類を添えて申し込みいたします。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また、追加資料の提出を求められた場合は、速やかに提出いたします。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助成金の振込口座</w:t>
      </w:r>
    </w:p>
    <w:tbl>
      <w:tblPr>
        <w:tblStyle w:val="11"/>
        <w:tblpPr w:leftFromText="142" w:rightFromText="142" w:topFromText="0" w:bottomFromText="0" w:vertAnchor="text" w:horzAnchor="margin" w:tblpXSpec="left" w:tblpY="27"/>
        <w:tblW w:w="775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013"/>
        <w:gridCol w:w="4741"/>
      </w:tblGrid>
      <w:tr>
        <w:trPr>
          <w:trHeight w:val="117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rPr>
                <w:rFonts w:hint="default" w:ascii="ＭＳ 明朝" w:hAnsi="ＭＳ 明朝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8"/>
              </w:rPr>
              <w:t>金融機関名</w:t>
            </w:r>
          </w:p>
        </w:tc>
        <w:tc>
          <w:tcPr>
            <w:tcW w:w="4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rPr>
                <w:rFonts w:hint="default" w:ascii="ＭＳ 明朝" w:hAnsi="ＭＳ 明朝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8"/>
              </w:rPr>
              <w:t>支　　店　　名</w:t>
            </w:r>
          </w:p>
        </w:tc>
      </w:tr>
      <w:tr>
        <w:trPr>
          <w:trHeight w:val="360" w:hRule="atLeast"/>
        </w:trPr>
        <w:tc>
          <w:tcPr>
            <w:tcW w:w="3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rPr>
                <w:rFonts w:hint="default" w:ascii="ＭＳ 明朝" w:hAnsi="ＭＳ 明朝"/>
                <w:color w:val="000000"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color w:val="000000"/>
                <w:kern w:val="0"/>
                <w:sz w:val="28"/>
              </w:rPr>
              <w:t>魚沼農協</w:t>
            </w:r>
          </w:p>
        </w:tc>
        <w:tc>
          <w:tcPr>
            <w:tcW w:w="4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jc w:val="right"/>
              <w:rPr>
                <w:rFonts w:hint="default" w:ascii="ＭＳ 明朝" w:hAnsi="ＭＳ 明朝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8"/>
              </w:rPr>
              <w:t>支店</w:t>
            </w:r>
          </w:p>
        </w:tc>
      </w:tr>
      <w:tr>
        <w:trPr>
          <w:trHeight w:val="386" w:hRule="atLeast"/>
        </w:trPr>
        <w:tc>
          <w:tcPr>
            <w:tcW w:w="3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pPr w:leftFromText="142" w:rightFromText="142" w:topFromText="0" w:bottomFromText="0" w:vertAnchor="text" w:horzAnchor="margin" w:tblpXSpec="left" w:tblpY="1407"/>
        <w:tblW w:w="940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64"/>
        <w:gridCol w:w="3848"/>
        <w:gridCol w:w="4797"/>
      </w:tblGrid>
      <w:tr>
        <w:trPr>
          <w:trHeight w:val="2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rPr>
                <w:rFonts w:hint="default" w:ascii="ＭＳ 明朝" w:hAnsi="ＭＳ 明朝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8"/>
              </w:rPr>
              <w:t>種別</w:t>
            </w:r>
          </w:p>
        </w:tc>
        <w:tc>
          <w:tcPr>
            <w:tcW w:w="3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rPr>
                <w:rFonts w:hint="default" w:ascii="ＭＳ 明朝" w:hAnsi="ＭＳ 明朝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8"/>
              </w:rPr>
              <w:t>口座名義人</w:t>
            </w:r>
          </w:p>
        </w:tc>
        <w:tc>
          <w:tcPr>
            <w:tcW w:w="4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rPr>
                <w:rFonts w:hint="default" w:ascii="ＭＳ 明朝" w:hAnsi="ＭＳ 明朝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8"/>
              </w:rPr>
              <w:t>口座番号</w:t>
            </w:r>
          </w:p>
        </w:tc>
      </w:tr>
      <w:tr>
        <w:trPr>
          <w:trHeight w:val="360" w:hRule="atLeast"/>
        </w:trPr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rPr>
                <w:rFonts w:hint="default" w:ascii="ＭＳ 明朝" w:hAnsi="ＭＳ 明朝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8"/>
              </w:rPr>
              <w:t>普通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47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rPr>
                <w:rFonts w:hint="default" w:ascii="ＭＳ 明朝" w:hAnsi="ＭＳ 明朝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962" w:hRule="atLeast"/>
        </w:trPr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uto"/>
              <w:ind w:right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3164205</wp:posOffset>
                </wp:positionV>
                <wp:extent cx="5494020" cy="10134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49402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</w:pP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　・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免税事業者・・・・・・・・・課税期間の基準期間における課税売上高が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1,000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万円以下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</w:pP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　・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簡易課税制度採用・・・課税売上額が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5,000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万以下の場合に選択可能。</w:t>
                            </w:r>
                          </w:p>
                          <w:p>
                            <w:pPr>
                              <w:pStyle w:val="0"/>
                              <w:ind w:left="2520" w:leftChars="1200" w:right="193" w:rightChars="0" w:firstLineChars="0"/>
                              <w:jc w:val="left"/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</w:pP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一定の割合をかけて納税額を算出する。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　・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t>一般事業者・・・・・・・・・該当するものを選択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49.15pt;mso-position-vertical-relative:text;mso-position-horizontal-relative:text;position:absolute;height:79.8pt;mso-wrap-distance-top:0pt;width:432.6pt;mso-wrap-distance-left:5.65pt;margin-left:41.3pt;z-index:2;" o:spid="_x0000_s1026" o:allowincell="t" o:allowoverlap="t" filled="t" fillcolor="#ffffff" stroked="t" strokecolor="#000000" strokeweight="0.5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 w:ascii="AR P教科書体M" w:hAnsi="AR P教科書体M" w:eastAsia="AR P教科書体M"/>
                          <w:sz w:val="22"/>
                        </w:rPr>
                      </w:pP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　・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免税事業者・・・・・・・・・課税期間の基準期間における課税売上高が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1,000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万円以下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AR P教科書体M" w:hAnsi="AR P教科書体M" w:eastAsia="AR P教科書体M"/>
                          <w:sz w:val="22"/>
                        </w:rPr>
                      </w:pP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　・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簡易課税制度採用・・・課税売上額が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5,000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万以下の場合に選択可能。</w:t>
                      </w:r>
                    </w:p>
                    <w:p>
                      <w:pPr>
                        <w:pStyle w:val="0"/>
                        <w:ind w:left="2520" w:leftChars="1200" w:right="193" w:rightChars="0" w:firstLineChars="0"/>
                        <w:jc w:val="left"/>
                        <w:rPr>
                          <w:rFonts w:hint="eastAsia" w:ascii="AR P教科書体M" w:hAnsi="AR P教科書体M" w:eastAsia="AR P教科書体M"/>
                          <w:sz w:val="22"/>
                        </w:rPr>
                      </w:pP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一定の割合をかけて納税額を算出する。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　・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t>一般事業者・・・・・・・・・該当するものを選択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inline distT="0" distB="0" distL="0" distR="0">
            <wp:extent cx="6120130" cy="1487170"/>
            <wp:effectExtent l="0" t="0" r="0" b="0"/>
            <wp:docPr id="102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pacing w:line="120" w:lineRule="auto"/>
      <w:ind w:right="193"/>
      <w:jc w:val="center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4</Words>
  <Characters>268</Characters>
  <Application>JUST Note</Application>
  <Lines>105</Lines>
  <Paragraphs>25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U4637</dc:creator>
  <cp:lastModifiedBy>101150</cp:lastModifiedBy>
  <cp:lastPrinted>2021-03-31T02:59:00Z</cp:lastPrinted>
  <dcterms:created xsi:type="dcterms:W3CDTF">2021-03-03T02:11:00Z</dcterms:created>
  <dcterms:modified xsi:type="dcterms:W3CDTF">2025-04-07T03:57:14Z</dcterms:modified>
  <cp:revision>10</cp:revision>
</cp:coreProperties>
</file>