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ind w:firstLine="120" w:firstLineChars="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魚沼市長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1" w:name="_GoBack"/>
      <w:bookmarkEnd w:id="1"/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556</Characters>
  <Application>JUST Note</Application>
  <Lines>479</Lines>
  <Paragraphs>89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2025-04-08T03:39:01Z</dcterms:modified>
  <cp:revision>0</cp:revision>
</cp:coreProperties>
</file>