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sz w:val="40"/>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-354330</wp:posOffset>
                </wp:positionH>
                <wp:positionV relativeFrom="paragraph">
                  <wp:posOffset>283845</wp:posOffset>
                </wp:positionV>
                <wp:extent cx="6263640" cy="1179195"/>
                <wp:effectExtent l="635" t="635" r="29845" b="10795"/>
                <wp:wrapNone/>
                <wp:docPr id="1026" name="正方形/長方形 1"/>
                <a:graphic xmlns:a="http://schemas.openxmlformats.org/drawingml/2006/main">
                  <a:graphicData uri="http://schemas.microsoft.com/office/word/2010/wordprocessingShape">
                    <wps:wsp>
                      <wps:cNvPr id="1026" name="正方形/長方形 1"/>
                      <wps:cNvSpPr/>
                      <wps:spPr>
                        <a:xfrm>
                          <a:off x="0" y="0"/>
                          <a:ext cx="6263640" cy="11791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22.35pt;mso-position-vertical-relative:text;mso-position-horizontal-relative:text;position:absolute;height:92.85pt;mso-wrap-distance-top:0pt;width:493.2pt;mso-wrap-distance-left:9pt;margin-left:-27.9pt;z-index:2;" o:spid="_x0000_s1026"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p>
    <w:p>
      <w:pPr>
        <w:pStyle w:val="0"/>
        <w:ind w:left="400" w:hanging="400" w:hangingChars="100"/>
        <w:rPr>
          <w:rFonts w:hint="default" w:ascii="ＭＳ 明朝" w:hAnsi="ＭＳ 明朝" w:eastAsia="ＭＳ 明朝"/>
          <w:sz w:val="40"/>
        </w:rPr>
      </w:pPr>
      <w:r>
        <w:rPr>
          <w:rFonts w:hint="eastAsia" w:ascii="ＭＳ 明朝" w:hAnsi="ＭＳ 明朝" w:eastAsia="ＭＳ 明朝"/>
          <w:sz w:val="40"/>
        </w:rPr>
        <w:t>　クロスコンプライアンスチェックシートの</w:t>
      </w:r>
    </w:p>
    <w:p>
      <w:pPr>
        <w:pStyle w:val="0"/>
        <w:ind w:left="400" w:hanging="400" w:hangingChars="100"/>
        <w:rPr>
          <w:rFonts w:hint="default" w:ascii="ＭＳ 明朝" w:hAnsi="ＭＳ 明朝" w:eastAsia="ＭＳ 明朝"/>
          <w:sz w:val="40"/>
        </w:rPr>
      </w:pPr>
      <w:r>
        <w:rPr>
          <w:rFonts w:hint="eastAsia" w:ascii="ＭＳ 明朝" w:hAnsi="ＭＳ 明朝" w:eastAsia="ＭＳ 明朝"/>
          <w:sz w:val="40"/>
        </w:rPr>
        <w:t>作成・報告</w:t>
      </w:r>
      <w:bookmarkStart w:id="0" w:name="_GoBack"/>
      <w:bookmarkEnd w:id="0"/>
      <w:r>
        <w:rPr>
          <w:rFonts w:hint="eastAsia" w:ascii="ＭＳ 明朝" w:hAnsi="ＭＳ 明朝" w:eastAsia="ＭＳ 明朝"/>
          <w:sz w:val="40"/>
        </w:rPr>
        <w:t>について</w:t>
      </w:r>
    </w:p>
    <w:p>
      <w:pPr>
        <w:pStyle w:val="0"/>
        <w:rPr>
          <w:rFonts w:hint="default" w:ascii="ＭＳ 明朝" w:hAnsi="ＭＳ 明朝" w:eastAsia="ＭＳ 明朝"/>
        </w:rPr>
      </w:pPr>
    </w:p>
    <w:p>
      <w:pPr>
        <w:pStyle w:val="0"/>
        <w:ind w:left="21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「環境負荷低減のクロスコンプライアンス」とは「みどりの食料システム戦略（みどり戦略）※」の一環で、令和７年度から、農林水産省の補助金等の交付を受ける場合に取り組むことが必要になりました</w:t>
      </w:r>
      <w:r>
        <w:rPr>
          <w:rFonts w:hint="eastAsia" w:ascii="ＭＳ 明朝" w:hAnsi="ＭＳ 明朝" w:eastAsia="ＭＳ 明朝"/>
          <w:sz w:val="22"/>
        </w:rPr>
        <w:t>（中山間地域等直接支払は国（農林水産省）の交付金のため、該当します）</w:t>
      </w:r>
      <w:r>
        <w:rPr>
          <w:rFonts w:hint="eastAsia" w:ascii="ＭＳ 明朝" w:hAnsi="ＭＳ 明朝" w:eastAsia="ＭＳ 明朝"/>
        </w:rPr>
        <w:t>。</w:t>
      </w:r>
    </w:p>
    <w:p>
      <w:pPr>
        <w:pStyle w:val="0"/>
        <w:ind w:left="2310" w:leftChars="200" w:hanging="1890" w:hangingChars="900"/>
        <w:rPr>
          <w:rFonts w:hint="default" w:ascii="ＭＳ 明朝" w:hAnsi="ＭＳ 明朝" w:eastAsia="ＭＳ 明朝"/>
        </w:rPr>
      </w:pPr>
      <w:r>
        <w:rPr>
          <w:rFonts w:hint="eastAsia" w:ascii="ＭＳ 明朝" w:hAnsi="ＭＳ 明朝" w:eastAsia="ＭＳ 明朝"/>
          <w:bdr w:val="single" w:color="auto" w:sz="4" w:space="0"/>
        </w:rPr>
        <w:t>※</w:t>
      </w:r>
      <w:r>
        <w:rPr>
          <w:rFonts w:hint="eastAsia" w:ascii="ＭＳ 明朝" w:hAnsi="ＭＳ 明朝" w:eastAsia="ＭＳ 明朝"/>
          <w:bdr w:val="single" w:color="auto" w:sz="4" w:space="0"/>
        </w:rPr>
        <w:t xml:space="preserve"> </w:t>
      </w:r>
      <w:r>
        <w:rPr>
          <w:rFonts w:hint="eastAsia" w:ascii="ＭＳ 明朝" w:hAnsi="ＭＳ 明朝" w:eastAsia="ＭＳ 明朝"/>
          <w:bdr w:val="single" w:color="auto" w:sz="4" w:space="0"/>
        </w:rPr>
        <w:t>みどり戦略</w:t>
      </w:r>
      <w:r>
        <w:rPr>
          <w:rFonts w:hint="eastAsia" w:ascii="ＭＳ 明朝" w:hAnsi="ＭＳ 明朝" w:eastAsia="ＭＳ 明朝"/>
        </w:rPr>
        <w:t>・・・「環境問題や食の健康（安全）に配慮しながら、持続（継続）可能な食料供給体制を作り上げる」ことを目標とした戦略のことです。</w:t>
      </w:r>
    </w:p>
    <w:p>
      <w:pPr>
        <w:pStyle w:val="0"/>
        <w:ind w:left="2320" w:leftChars="1000" w:hanging="220" w:hangingChars="100"/>
        <w:rPr>
          <w:rFonts w:hint="eastAsia" w:ascii="ＭＳ 明朝" w:hAnsi="ＭＳ 明朝" w:eastAsia="ＭＳ 明朝"/>
          <w:sz w:val="22"/>
        </w:rPr>
      </w:pPr>
      <w:r>
        <w:rPr>
          <w:rFonts w:hint="eastAsia" w:ascii="ＭＳ 明朝" w:hAnsi="ＭＳ 明朝" w:eastAsia="ＭＳ 明朝"/>
          <w:sz w:val="22"/>
        </w:rPr>
        <w:t xml:space="preserve"> </w:t>
      </w:r>
      <w:r>
        <w:rPr>
          <w:rFonts w:hint="eastAsia" w:ascii="ＭＳ 明朝" w:hAnsi="ＭＳ 明朝" w:eastAsia="ＭＳ 明朝"/>
          <w:sz w:val="22"/>
        </w:rPr>
        <w:t>「環境負荷の軽減」「食品ロスの削減」「生産性の向上（</w:t>
      </w:r>
      <w:r>
        <w:rPr>
          <w:rFonts w:hint="eastAsia" w:ascii="ＭＳ 明朝" w:hAnsi="ＭＳ 明朝" w:eastAsia="ＭＳ 明朝"/>
          <w:sz w:val="22"/>
        </w:rPr>
        <w:t>AI</w:t>
      </w:r>
      <w:r>
        <w:rPr>
          <w:rFonts w:hint="eastAsia" w:ascii="ＭＳ 明朝" w:hAnsi="ＭＳ 明朝" w:eastAsia="ＭＳ 明朝"/>
          <w:sz w:val="22"/>
        </w:rPr>
        <w:t>の活用）」「農業生産体制の確立」などが目標に掲げられています。</w:t>
      </w:r>
    </w:p>
    <w:p>
      <w:pPr>
        <w:pStyle w:val="0"/>
        <w:ind w:left="210" w:hanging="210" w:hangingChars="100"/>
        <w:rPr>
          <w:rFonts w:hint="default" w:ascii="ＭＳ 明朝" w:hAnsi="ＭＳ 明朝" w:eastAsia="ＭＳ 明朝"/>
        </w:rPr>
      </w:pPr>
    </w:p>
    <w:p>
      <w:pPr>
        <w:pStyle w:val="0"/>
        <w:ind w:left="0" w:leftChars="0" w:hanging="220" w:hangingChars="100"/>
        <w:rPr>
          <w:rFonts w:hint="eastAsia" w:ascii="ＭＳ ゴシック" w:hAnsi="ＭＳ ゴシック" w:eastAsia="ＭＳ ゴシック"/>
          <w:b w:val="1"/>
          <w:sz w:val="22"/>
          <w:u w:val="double" w:color="auto"/>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中山間地域等直接支払制度では、</w:t>
      </w:r>
      <w:r>
        <w:rPr>
          <w:rFonts w:hint="eastAsia" w:ascii="ＭＳ ゴシック" w:hAnsi="ＭＳ ゴシック" w:eastAsia="ＭＳ ゴシック"/>
          <w:b w:val="1"/>
          <w:sz w:val="22"/>
          <w:u w:val="double" w:color="auto"/>
        </w:rPr>
        <w:t>全協定が</w:t>
      </w:r>
      <w:r>
        <w:rPr>
          <w:rFonts w:hint="eastAsia" w:ascii="ＭＳ 明朝" w:hAnsi="ＭＳ 明朝" w:eastAsia="ＭＳ 明朝"/>
          <w:sz w:val="22"/>
        </w:rPr>
        <w:t>この「環境負荷低減のクロスコンプライアンス」（クロコン・みどりチェックなどと呼びます）に取り組み、</w:t>
      </w:r>
      <w:r>
        <w:rPr>
          <w:rFonts w:hint="eastAsia" w:ascii="ＭＳ ゴシック" w:hAnsi="ＭＳ ゴシック" w:eastAsia="ＭＳ ゴシック"/>
          <w:b w:val="1"/>
          <w:sz w:val="22"/>
          <w:u w:val="double" w:color="auto"/>
        </w:rPr>
        <w:t>チェックシートを作成、報告することが交付金交付の要件の一つとなりました。</w:t>
      </w:r>
    </w:p>
    <w:p>
      <w:pPr>
        <w:pStyle w:val="0"/>
        <w:ind w:leftChars="0" w:firstLineChars="0"/>
        <w:rPr>
          <w:rFonts w:hint="eastAsia" w:ascii="ＭＳ 明朝" w:hAnsi="ＭＳ 明朝" w:eastAsia="ＭＳ 明朝"/>
          <w:sz w:val="22"/>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これは「農業等が原因となる環境負荷に配慮するための取組」として、</w:t>
      </w:r>
      <w:r>
        <w:rPr>
          <w:rFonts w:hint="eastAsia" w:ascii="ＭＳ 明朝" w:hAnsi="ＭＳ 明朝" w:eastAsia="ＭＳ 明朝"/>
          <w:sz w:val="22"/>
        </w:rPr>
        <w:t>環境にやさしく</w:t>
      </w:r>
    </w:p>
    <w:p>
      <w:pPr>
        <w:pStyle w:val="0"/>
        <w:ind w:left="0" w:leftChars="0" w:firstLine="220" w:firstLineChars="100"/>
        <w:rPr>
          <w:rFonts w:hint="eastAsia" w:ascii="ＭＳ 明朝" w:hAnsi="ＭＳ 明朝" w:eastAsia="ＭＳ 明朝"/>
          <w:sz w:val="22"/>
        </w:rPr>
      </w:pPr>
      <w:r>
        <w:rPr>
          <w:rFonts w:hint="eastAsia" w:ascii="ＭＳ 明朝" w:hAnsi="ＭＳ 明朝" w:eastAsia="ＭＳ 明朝"/>
          <w:sz w:val="22"/>
        </w:rPr>
        <w:t>生産性も高い農業を目指した取り組みとなっています。</w:t>
      </w:r>
    </w:p>
    <w:p>
      <w:pPr>
        <w:pStyle w:val="0"/>
        <w:ind w:firstLineChars="0"/>
        <w:rPr>
          <w:rFonts w:hint="default" w:ascii="ＭＳ 明朝" w:hAnsi="ＭＳ 明朝" w:eastAsia="ＭＳ 明朝"/>
        </w:rPr>
      </w:pPr>
      <w:r>
        <w:rPr>
          <w:rFonts w:hint="eastAsia"/>
        </w:rPr>
        <w:drawing>
          <wp:anchor distT="0" distB="0" distL="203200" distR="203200" simplePos="0" relativeHeight="3" behindDoc="0" locked="0" layoutInCell="1" hidden="0" allowOverlap="1">
            <wp:simplePos x="0" y="0"/>
            <wp:positionH relativeFrom="column">
              <wp:posOffset>-3810</wp:posOffset>
            </wp:positionH>
            <wp:positionV relativeFrom="paragraph">
              <wp:posOffset>53975</wp:posOffset>
            </wp:positionV>
            <wp:extent cx="5400040" cy="3737610"/>
            <wp:effectExtent l="0" t="0" r="0" b="0"/>
            <wp:wrapNone/>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6"/>
                    <a:stretch>
                      <a:fillRect/>
                    </a:stretch>
                  </pic:blipFill>
                  <pic:spPr>
                    <a:xfrm>
                      <a:off x="0" y="0"/>
                      <a:ext cx="5400040" cy="3737610"/>
                    </a:xfrm>
                    <a:prstGeom prst="rect">
                      <a:avLst/>
                    </a:prstGeom>
                  </pic:spPr>
                </pic:pic>
              </a:graphicData>
            </a:graphic>
          </wp:anchor>
        </w:drawing>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bdr w:val="single" w:color="auto" w:sz="4" w:space="0"/>
        </w:rPr>
      </w:pPr>
      <w:r>
        <w:rPr>
          <w:rFonts w:hint="eastAsia" w:ascii="ＭＳ 明朝" w:hAnsi="ＭＳ 明朝" w:eastAsia="ＭＳ 明朝"/>
          <w:bdr w:val="single" w:color="auto" w:sz="4" w:space="0"/>
        </w:rPr>
        <w:t>「環境負荷低減のクロスコンプライアンス」（みどりチェック）の手続きの流れ</w:t>
      </w:r>
    </w:p>
    <w:p>
      <w:pPr>
        <w:pStyle w:val="0"/>
        <w:rPr>
          <w:rFonts w:hint="default" w:ascii="ＭＳ 明朝" w:hAnsi="ＭＳ 明朝" w:eastAsia="ＭＳ 明朝"/>
        </w:rPr>
      </w:pPr>
    </w:p>
    <w:tbl>
      <w:tblPr>
        <w:tblStyle w:val="26"/>
        <w:tblW w:w="0" w:type="auto"/>
        <w:tblInd w:w="0" w:type="dxa"/>
        <w:tblLayout w:type="fixed"/>
        <w:tblLook w:firstRow="1" w:lastRow="0" w:firstColumn="1" w:lastColumn="0" w:noHBand="0" w:noVBand="1" w:val="04A0"/>
      </w:tblPr>
      <w:tblGrid>
        <w:gridCol w:w="1615"/>
        <w:gridCol w:w="6889"/>
      </w:tblGrid>
      <w:tr>
        <w:trPr/>
        <w:tc>
          <w:tcPr>
            <w:tcW w:w="1615" w:type="dxa"/>
            <w:vAlign w:val="top"/>
          </w:tcPr>
          <w:p>
            <w:pPr>
              <w:pStyle w:val="0"/>
              <w:jc w:val="center"/>
              <w:rPr>
                <w:rFonts w:hint="eastAsia" w:ascii="ＭＳ 明朝" w:hAnsi="ＭＳ 明朝" w:eastAsia="ＭＳ 明朝"/>
              </w:rPr>
            </w:pPr>
            <w:r>
              <w:rPr>
                <w:rFonts w:hint="eastAsia" w:ascii="ＭＳ 明朝" w:hAnsi="ＭＳ 明朝" w:eastAsia="ＭＳ 明朝"/>
              </w:rPr>
              <w:t>１年目</w:t>
            </w:r>
          </w:p>
          <w:p>
            <w:pPr>
              <w:pStyle w:val="0"/>
              <w:jc w:val="center"/>
              <w:rPr>
                <w:rFonts w:hint="eastAsia" w:ascii="ＭＳ 明朝" w:hAnsi="ＭＳ 明朝" w:eastAsia="ＭＳ 明朝"/>
              </w:rPr>
            </w:pPr>
            <w:r>
              <w:rPr>
                <w:rFonts w:hint="eastAsia" w:ascii="ＭＳ 明朝" w:hAnsi="ＭＳ 明朝" w:eastAsia="ＭＳ 明朝"/>
              </w:rPr>
              <w:t>（初年度）</w:t>
            </w:r>
          </w:p>
        </w:tc>
        <w:tc>
          <w:tcPr>
            <w:tcW w:w="6889" w:type="dxa"/>
            <w:vAlign w:val="top"/>
          </w:tcPr>
          <w:p>
            <w:pPr>
              <w:pStyle w:val="0"/>
              <w:ind w:left="840" w:hanging="840" w:hangingChars="400"/>
              <w:rPr>
                <w:rFonts w:hint="eastAsia" w:ascii="ＭＳ 明朝" w:hAnsi="ＭＳ 明朝" w:eastAsia="ＭＳ 明朝"/>
              </w:rPr>
            </w:pPr>
            <w:r>
              <w:rPr>
                <w:rFonts w:hint="eastAsia" w:ascii="ＭＳ 明朝" w:hAnsi="ＭＳ 明朝" w:eastAsia="ＭＳ 明朝"/>
              </w:rPr>
              <w:t>【申請】集落協定等は、市町村への認定申請の際に、チェックシートに取り組む内容を記入して提出</w:t>
            </w:r>
          </w:p>
        </w:tc>
      </w:tr>
      <w:tr>
        <w:trPr/>
        <w:tc>
          <w:tcPr>
            <w:tcW w:w="1615"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rPr>
            </w:pPr>
            <w:r>
              <w:rPr>
                <w:rFonts w:hint="eastAsia" w:ascii="ＭＳ 明朝" w:hAnsi="ＭＳ 明朝" w:eastAsia="ＭＳ 明朝"/>
              </w:rPr>
              <w:t>毎年度</w:t>
            </w:r>
          </w:p>
        </w:tc>
        <w:tc>
          <w:tcPr>
            <w:tcW w:w="6889"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集落協定等は、チェックシートに記入した取り組みを実施する。</w:t>
            </w:r>
          </w:p>
          <w:p>
            <w:pPr>
              <w:pStyle w:val="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市町村は、現地確認時等に、取組が実施されているか確認する。</w:t>
            </w:r>
          </w:p>
          <w:p>
            <w:pPr>
              <w:pStyle w:val="0"/>
              <w:ind w:left="210" w:hanging="210" w:hangingChars="100"/>
              <w:rPr>
                <w:rFonts w:hint="eastAsia" w:ascii="ＭＳ ゴシック" w:hAnsi="ＭＳ ゴシック" w:eastAsia="ＭＳ ゴシック"/>
                <w:b w:val="1"/>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集落協定等は、その年度の取組内容を</w:t>
            </w:r>
            <w:r>
              <w:rPr>
                <w:rFonts w:hint="eastAsia" w:ascii="ＭＳ ゴシック" w:hAnsi="ＭＳ ゴシック" w:eastAsia="ＭＳ ゴシック"/>
                <w:b w:val="1"/>
              </w:rPr>
              <w:t>チェックシートにより実績報告時に報告する。</w:t>
            </w:r>
          </w:p>
        </w:tc>
      </w:tr>
      <w:tr>
        <w:trPr/>
        <w:tc>
          <w:tcPr>
            <w:tcW w:w="1615" w:type="dxa"/>
            <w:tcBorders>
              <w:top w:val="single" w:color="auto" w:sz="12" w:space="0"/>
              <w:left w:val="single" w:color="auto" w:sz="12" w:space="0"/>
              <w:bottom w:val="single" w:color="auto" w:sz="12" w:space="0"/>
              <w:right w:val="single" w:color="auto" w:sz="4" w:space="0"/>
              <w:tl2br w:val="nil"/>
              <w:tr2bl w:val="nil"/>
            </w:tcBorders>
            <w:vAlign w:val="top"/>
          </w:tcPr>
          <w:p>
            <w:pPr>
              <w:pStyle w:val="0"/>
              <w:jc w:val="center"/>
              <w:rPr>
                <w:rFonts w:hint="eastAsia" w:ascii="ＭＳ 明朝" w:hAnsi="ＭＳ 明朝" w:eastAsia="ＭＳ 明朝"/>
              </w:rPr>
            </w:pPr>
            <w:r>
              <w:rPr>
                <w:rFonts w:hint="eastAsia" w:ascii="ＭＳ ゴシック" w:hAnsi="ＭＳ ゴシック" w:eastAsia="ＭＳ ゴシック"/>
                <w:b w:val="1"/>
              </w:rPr>
              <w:t>報告方法</w:t>
            </w:r>
          </w:p>
        </w:tc>
        <w:tc>
          <w:tcPr>
            <w:tcW w:w="6889" w:type="dxa"/>
            <w:tcBorders>
              <w:top w:val="single" w:color="auto" w:sz="12" w:space="0"/>
              <w:left w:val="single" w:color="auto" w:sz="4" w:space="0"/>
              <w:bottom w:val="single" w:color="auto" w:sz="12" w:space="0"/>
              <w:right w:val="single" w:color="auto" w:sz="12" w:space="0"/>
              <w:tl2br w:val="nil"/>
              <w:tr2bl w:val="nil"/>
            </w:tcBorders>
            <w:vAlign w:val="top"/>
          </w:tcPr>
          <w:p>
            <w:pPr>
              <w:pStyle w:val="0"/>
              <w:rPr>
                <w:rFonts w:hint="eastAsia" w:ascii="ＭＳ ゴシック" w:hAnsi="ＭＳ ゴシック" w:eastAsia="ＭＳ ゴシック"/>
                <w:b w:val="1"/>
                <w:u w:val="double"/>
              </w:rPr>
            </w:pPr>
            <w:r>
              <w:rPr>
                <w:rFonts w:hint="eastAsia" w:ascii="ＭＳ ゴシック" w:hAnsi="ＭＳ ゴシック" w:eastAsia="ＭＳ ゴシック"/>
                <w:b w:val="1"/>
                <w:u w:val="double"/>
              </w:rPr>
              <w:t>・</w:t>
            </w:r>
            <w:r>
              <w:rPr>
                <w:rFonts w:hint="eastAsia" w:ascii="ＭＳ ゴシック" w:hAnsi="ＭＳ ゴシック" w:eastAsia="ＭＳ ゴシック"/>
                <w:b w:val="1"/>
                <w:u w:val="double"/>
              </w:rPr>
              <w:t xml:space="preserve"> </w:t>
            </w:r>
            <w:r>
              <w:rPr>
                <w:rFonts w:hint="eastAsia" w:ascii="ＭＳ ゴシック" w:hAnsi="ＭＳ ゴシック" w:eastAsia="ＭＳ ゴシック"/>
                <w:b w:val="1"/>
                <w:u w:val="double"/>
              </w:rPr>
              <w:t>チェックシートの「申請時（します）」の内容に対して活動を確認し、「報告時（しました）」にチェックして提出</w:t>
            </w:r>
          </w:p>
          <w:p>
            <w:pPr>
              <w:pStyle w:val="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試行期間のため、今後やり方が変わる場合があります。</w:t>
            </w:r>
          </w:p>
        </w:tc>
      </w:tr>
    </w:tbl>
    <w:p>
      <w:pPr>
        <w:pStyle w:val="0"/>
        <w:rPr>
          <w:rFonts w:hint="default" w:ascii="ＭＳ 明朝" w:hAnsi="ＭＳ 明朝" w:eastAsia="ＭＳ 明朝"/>
        </w:rPr>
      </w:pPr>
    </w:p>
    <w:p>
      <w:pPr>
        <w:pStyle w:val="0"/>
        <w:ind w:left="420" w:leftChars="1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簡易Ｑ＆Ａ</w:t>
      </w:r>
      <w:r>
        <w:rPr>
          <w:rFonts w:hint="eastAsia" w:ascii="ＭＳ 明朝" w:hAnsi="ＭＳ 明朝" w:eastAsia="ＭＳ 明朝"/>
        </w:rPr>
        <w:t xml:space="preserve"> </w:t>
      </w:r>
      <w:r>
        <w:rPr>
          <w:rFonts w:hint="eastAsia" w:ascii="ＭＳ 明朝" w:hAnsi="ＭＳ 明朝" w:eastAsia="ＭＳ 明朝"/>
        </w:rPr>
        <w:t>】</w:t>
      </w:r>
    </w:p>
    <w:tbl>
      <w:tblPr>
        <w:tblStyle w:val="26"/>
        <w:tblW w:w="0" w:type="auto"/>
        <w:tblInd w:w="0" w:type="dxa"/>
        <w:tblLayout w:type="fixed"/>
        <w:tblLook w:firstRow="1" w:lastRow="0" w:firstColumn="1" w:lastColumn="0" w:noHBand="0" w:noVBand="1" w:val="04A0"/>
      </w:tblPr>
      <w:tblGrid>
        <w:gridCol w:w="1440"/>
        <w:gridCol w:w="7015"/>
      </w:tblGrid>
      <w:tr>
        <w:trPr/>
        <w:tc>
          <w:tcPr>
            <w:tcW w:w="1440"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質問</w:t>
            </w:r>
          </w:p>
        </w:tc>
        <w:tc>
          <w:tcPr>
            <w:tcW w:w="7015"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回答</w:t>
            </w:r>
          </w:p>
        </w:tc>
      </w:tr>
      <w:tr>
        <w:trPr/>
        <w:tc>
          <w:tcPr>
            <w:tcW w:w="1440" w:type="dxa"/>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集落協定としての取組とは？</w:t>
            </w:r>
          </w:p>
        </w:tc>
        <w:tc>
          <w:tcPr>
            <w:tcW w:w="7015" w:type="dxa"/>
            <w:vAlign w:val="top"/>
          </w:tcPr>
          <w:p>
            <w:pPr>
              <w:pStyle w:val="0"/>
              <w:ind w:firstLine="210" w:firstLineChars="100"/>
              <w:rPr>
                <w:rFonts w:hint="eastAsia" w:ascii="ＭＳ ゴシック" w:hAnsi="ＭＳ ゴシック" w:eastAsia="ＭＳ ゴシック"/>
              </w:rPr>
            </w:pPr>
            <w:r>
              <w:rPr>
                <w:rFonts w:hint="eastAsia" w:ascii="ＭＳ ゴシック" w:hAnsi="ＭＳ ゴシック" w:eastAsia="ＭＳ ゴシック"/>
              </w:rPr>
              <w:t>例えば、共同活動に伴って発生した廃棄物として、草刈りで発生した大量の草や木くず、共同防除で使用した農薬の容器などがあるが、これらを各自治体のルールに基づき処理しているかどうかというものが考えられます。</w:t>
            </w:r>
          </w:p>
          <w:p>
            <w:pPr>
              <w:pStyle w:val="0"/>
              <w:ind w:firstLine="210" w:firstLineChars="100"/>
              <w:rPr>
                <w:rFonts w:hint="eastAsia" w:ascii="ＭＳ ゴシック" w:hAnsi="ＭＳ ゴシック" w:eastAsia="ＭＳ ゴシック"/>
              </w:rPr>
            </w:pPr>
            <w:r>
              <w:rPr>
                <w:rFonts w:hint="eastAsia" w:ascii="ＭＳ ゴシック" w:hAnsi="ＭＳ ゴシック" w:eastAsia="ＭＳ ゴシック"/>
              </w:rPr>
              <w:t>共同取組活動として草刈や防除を行っている場合に「申請時」にチェックし、容器等を正しく処理した場合に、年度末に「報告時」にチェックして提出いただきます。</w:t>
            </w:r>
          </w:p>
        </w:tc>
      </w:tr>
      <w:tr>
        <w:trPr/>
        <w:tc>
          <w:tcPr>
            <w:tcW w:w="1440" w:type="dxa"/>
            <w:vAlign w:val="top"/>
          </w:tcPr>
          <w:p>
            <w:pPr>
              <w:pStyle w:val="0"/>
              <w:rPr>
                <w:rFonts w:hint="eastAsia" w:ascii="ＭＳ ゴシック" w:hAnsi="ＭＳ ゴシック" w:eastAsia="ＭＳ ゴシック"/>
              </w:rPr>
            </w:pPr>
            <w:r>
              <w:rPr>
                <w:rFonts w:hint="eastAsia" w:ascii="ＭＳ ゴシック" w:hAnsi="ＭＳ ゴシック" w:eastAsia="ＭＳ ゴシック"/>
              </w:rPr>
              <w:t>個人管理が主で共同活動がない</w:t>
            </w:r>
          </w:p>
        </w:tc>
        <w:tc>
          <w:tcPr>
            <w:tcW w:w="7015" w:type="dxa"/>
            <w:vAlign w:val="top"/>
          </w:tcPr>
          <w:p>
            <w:pPr>
              <w:pStyle w:val="0"/>
              <w:ind w:firstLine="210" w:firstLineChars="100"/>
              <w:rPr>
                <w:rFonts w:hint="eastAsia" w:ascii="ＭＳ ゴシック" w:hAnsi="ＭＳ ゴシック" w:eastAsia="ＭＳ ゴシック"/>
              </w:rPr>
            </w:pPr>
            <w:r>
              <w:rPr>
                <w:rFonts w:hint="eastAsia" w:ascii="ＭＳ ゴシック" w:hAnsi="ＭＳ ゴシック" w:eastAsia="ＭＳ ゴシック"/>
              </w:rPr>
              <w:t>共同活動として行っておらず、個人の維持管理のみの場合は、適正な施肥等は該当しないと思われるため、そのようなものは「該当しない」にチェックしてください（作付けしている場合でも、集落協定の共同活動として施肥や農薬防除をしていなければ「該当しない」となる）。</w:t>
            </w:r>
          </w:p>
          <w:p>
            <w:pPr>
              <w:pStyle w:val="0"/>
              <w:ind w:firstLine="210" w:firstLineChars="100"/>
              <w:rPr>
                <w:rFonts w:hint="eastAsia" w:ascii="ＭＳ ゴシック" w:hAnsi="ＭＳ ゴシック" w:eastAsia="ＭＳ ゴシック"/>
              </w:rPr>
            </w:pPr>
            <w:r>
              <w:rPr>
                <w:rFonts w:hint="eastAsia" w:ascii="ＭＳ ゴシック" w:hAnsi="ＭＳ ゴシック" w:eastAsia="ＭＳ ゴシック"/>
              </w:rPr>
              <w:t>また、項目に該当しない場合、「該当しない」にチェックをすることで協定に不利益が生じることはありません。</w:t>
            </w:r>
          </w:p>
        </w:tc>
      </w:tr>
    </w:tbl>
    <w:p>
      <w:pPr>
        <w:pStyle w:val="0"/>
        <w:ind w:left="420" w:leftChars="1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参考</w:t>
      </w:r>
      <w:r>
        <w:rPr>
          <w:rFonts w:hint="eastAsia" w:ascii="ＭＳ 明朝" w:hAnsi="ＭＳ 明朝" w:eastAsia="ＭＳ 明朝"/>
        </w:rPr>
        <w:t xml:space="preserve"> </w:t>
      </w:r>
      <w:r>
        <w:rPr>
          <w:rFonts w:hint="eastAsia" w:ascii="ＭＳ 明朝" w:hAnsi="ＭＳ 明朝" w:eastAsia="ＭＳ 明朝"/>
        </w:rPr>
        <w:t>】</w:t>
      </w:r>
    </w:p>
    <w:p>
      <w:pPr>
        <w:pStyle w:val="0"/>
        <w:ind w:left="420" w:leftChars="1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農林水産省ＨＰ　：　環境負荷低減のクロスコンプライアンス（みどりチェック）</w:t>
      </w:r>
    </w:p>
    <w:p>
      <w:pPr>
        <w:pStyle w:val="0"/>
        <w:ind w:left="420" w:leftChars="100" w:hanging="210" w:hangingChars="100"/>
        <w:rPr>
          <w:rFonts w:hint="default" w:ascii="ＭＳ 明朝" w:hAnsi="ＭＳ 明朝" w:eastAsia="ＭＳ 明朝"/>
        </w:rPr>
      </w:pPr>
      <w:r>
        <w:rPr>
          <w:rFonts w:hint="eastAsia"/>
        </w:rPr>
        <w:fldChar w:fldCharType="begin"/>
      </w:r>
      <w:r>
        <w:rPr>
          <w:rFonts w:hint="eastAsia"/>
        </w:rPr>
        <w:instrText xml:space="preserve"> HYPERLINK "https://www.maff.go.jp/j/kanbo/kankyo/seisaku/midori/kurokon.html"</w:instrText>
      </w:r>
      <w:r>
        <w:rPr>
          <w:rFonts w:hint="eastAsia"/>
        </w:rPr>
        <w:fldChar w:fldCharType="separate"/>
      </w:r>
      <w:r>
        <w:rPr>
          <w:rStyle w:val="20"/>
          <w:rFonts w:hint="eastAsia" w:ascii="ＭＳ 明朝" w:hAnsi="ＭＳ 明朝" w:eastAsia="ＭＳ 明朝"/>
        </w:rPr>
        <w:t>https://www.maff.go.jp/j/kanbo/kankyo/seisaku/midori/kurokon.html</w:t>
      </w:r>
      <w:r>
        <w:rPr>
          <w:rFonts w:hint="eastAsia"/>
        </w:rPr>
        <w:fldChar w:fldCharType="end"/>
      </w:r>
    </w:p>
    <w:p>
      <w:pPr>
        <w:pStyle w:val="0"/>
        <w:ind w:left="420" w:leftChars="100" w:hanging="210" w:hangingChars="100"/>
        <w:rPr>
          <w:rFonts w:hint="default" w:ascii="ＭＳ 明朝" w:hAnsi="ＭＳ 明朝" w:eastAsia="ＭＳ 明朝"/>
        </w:rPr>
      </w:pPr>
    </w:p>
    <w:p>
      <w:pPr>
        <w:pStyle w:val="0"/>
        <w:rPr>
          <w:rFonts w:hint="default" w:ascii="ＭＳ 明朝" w:hAnsi="ＭＳ 明朝" w:eastAsia="ＭＳ 明朝"/>
        </w:rPr>
      </w:pPr>
    </w:p>
    <w:sectPr>
      <w:footerReference r:id="rId5" w:type="default"/>
      <w:pgSz w:w="11906" w:h="16838"/>
      <w:pgMar w:top="1134" w:right="1701" w:bottom="1134"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 P教科書体M">
    <w:panose1 w:val="00000000000000000000"/>
    <w:charset w:val="80"/>
    <w:family w:val="script"/>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HGP創英角ﾎﾟｯﾌﾟ体">
    <w:panose1 w:val="00000000000000000000"/>
    <w:charset w:val="80"/>
    <w:family w:val="moder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HGS行書体">
    <w:panose1 w:val="00000000000000000000"/>
    <w:charset w:val="80"/>
    <w:family w:val="script"/>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4"/>
            <w:rFonts w:hint="eastAsia"/>
          </w:rPr>
          <w:t>1</w:t>
        </w:r>
        <w:r>
          <w:rPr>
            <w:rFonts w:hint="eastAsia"/>
          </w:rPr>
          <w:fldChar w:fldCharType="end"/>
        </w:r>
        <w:r>
          <w:rPr>
            <w:rFonts w:hint="eastAsia"/>
          </w:rPr>
          <w:t xml:space="preserve"> / </w:t>
        </w:r>
        <w:r>
          <w:rPr>
            <w:rFonts w:hint="eastAsia"/>
          </w:rPr>
          <w:fldChar w:fldCharType="begin"/>
        </w:r>
        <w:r>
          <w:rPr>
            <w:rFonts w:hint="eastAsia"/>
          </w:rPr>
          <w:instrText xml:space="preserve">NUMPAGES \* MERGEFORMAT </w:instrText>
        </w:r>
        <w:r>
          <w:rPr>
            <w:rFonts w:hint="eastAsia"/>
          </w:rPr>
          <w:fldChar w:fldCharType="separate"/>
        </w:r>
        <w:r>
          <w:rPr>
            <w:rFonts w:hint="eastAsia"/>
          </w:rPr>
          <w:t>2</w:t>
        </w:r>
        <w:r>
          <w:rPr>
            <w:rFonts w:hint="eastAsia"/>
          </w:rPr>
          <w:fldChar w:fldCharType="end"/>
        </w:r>
      </w:p>
    </w:sdtContent>
  </w:sdt>
  <w:p>
    <w:pPr>
      <w:pStyle w:val="0"/>
      <w:rPr>
        <w:rFonts w:hint="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Hyperlink"/>
    <w:basedOn w:val="10"/>
    <w:next w:val="20"/>
    <w:link w:val="0"/>
    <w:uiPriority w:val="0"/>
    <w:rPr>
      <w:color w:val="0563C1" w:themeColor="hyperlink"/>
      <w:u w:val="single" w:color="auto"/>
    </w:rPr>
  </w:style>
  <w:style w:type="character" w:styleId="21" w:customStyle="1">
    <w:name w:val="Unresolved Mention"/>
    <w:basedOn w:val="10"/>
    <w:next w:val="21"/>
    <w:link w:val="0"/>
    <w:uiPriority w:val="0"/>
    <w:rPr>
      <w:color w:val="605E5C"/>
      <w:shd w:val="clear" w:color="auto" w:fill="E1DFDD"/>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character" w:styleId="24">
    <w:name w:val="page number"/>
    <w:basedOn w:val="10"/>
    <w:next w:val="24"/>
    <w:link w:val="0"/>
    <w:uiPriority w:val="0"/>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customStyle="1">
    <w:name w:val="表（シンプル 1）"/>
    <w:basedOn w:val="11"/>
    <w:next w:val="26"/>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image" Target="media/image1.jpg"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336</TotalTime>
  <Pages>2</Pages>
  <Words>13</Words>
  <Characters>1223</Characters>
  <Application>JUST Note</Application>
  <Lines>78</Lines>
  <Paragraphs>31</Paragraphs>
  <CharactersWithSpaces>1242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100867</dc:creator>
  <cp:lastModifiedBy>101150</cp:lastModifiedBy>
  <cp:lastPrinted>2020-04-20T02:59:00Z</cp:lastPrinted>
  <dcterms:created xsi:type="dcterms:W3CDTF">2020-04-16T07:32:00Z</dcterms:created>
  <dcterms:modified xsi:type="dcterms:W3CDTF">2025-06-23T13:48:42Z</dcterms:modified>
  <cp:revision>25</cp:revision>
</cp:coreProperties>
</file>