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ind w:firstLine="442" w:firstLineChars="100"/>
        <w:jc w:val="center"/>
        <w:rPr>
          <w:rFonts w:hint="default" w:asciiTheme="majorEastAsia" w:hAnsiTheme="majorEastAsia" w:eastAsiaTheme="majorEastAsia"/>
          <w:b w:val="1"/>
          <w:sz w:val="44"/>
        </w:rPr>
      </w:pPr>
    </w:p>
    <w:p>
      <w:pPr>
        <w:pStyle w:val="0"/>
        <w:spacing w:line="0" w:lineRule="atLeast"/>
        <w:ind w:firstLine="442" w:firstLineChars="100"/>
        <w:jc w:val="center"/>
        <w:rPr>
          <w:rFonts w:hint="default" w:asciiTheme="majorEastAsia" w:hAnsiTheme="majorEastAsia" w:eastAsiaTheme="majorEastAsia"/>
          <w:b w:val="1"/>
          <w:sz w:val="44"/>
        </w:rPr>
      </w:pPr>
    </w:p>
    <w:p>
      <w:pPr>
        <w:pStyle w:val="0"/>
        <w:spacing w:line="0" w:lineRule="atLeast"/>
        <w:ind w:firstLine="442" w:firstLineChars="100"/>
        <w:jc w:val="center"/>
        <w:rPr>
          <w:rFonts w:hint="default" w:asciiTheme="majorEastAsia" w:hAnsiTheme="majorEastAsia" w:eastAsiaTheme="majorEastAsia"/>
          <w:b w:val="1"/>
          <w:sz w:val="44"/>
        </w:rPr>
      </w:pPr>
    </w:p>
    <w:p>
      <w:pPr>
        <w:pStyle w:val="0"/>
        <w:spacing w:line="0" w:lineRule="atLeast"/>
        <w:ind w:firstLine="482" w:firstLineChars="100"/>
        <w:jc w:val="center"/>
        <w:rPr>
          <w:rFonts w:hint="default" w:asciiTheme="majorEastAsia" w:hAnsiTheme="majorEastAsia" w:eastAsiaTheme="majorEastAsia"/>
          <w:b w:val="1"/>
          <w:sz w:val="48"/>
        </w:rPr>
      </w:pPr>
      <w:r>
        <w:rPr>
          <w:rFonts w:hint="eastAsia" w:asciiTheme="majorEastAsia" w:hAnsiTheme="majorEastAsia" w:eastAsiaTheme="majorEastAsia"/>
          <w:b w:val="1"/>
          <w:sz w:val="48"/>
        </w:rPr>
        <w:t>支援シート</w:t>
      </w:r>
    </w:p>
    <w:p>
      <w:pPr>
        <w:pStyle w:val="0"/>
        <w:spacing w:line="0" w:lineRule="atLeast"/>
        <w:ind w:firstLine="100" w:firstLineChars="100"/>
        <w:jc w:val="center"/>
        <w:rPr>
          <w:rFonts w:hint="default" w:asciiTheme="majorEastAsia" w:hAnsiTheme="majorEastAsia" w:eastAsiaTheme="majorEastAsia"/>
          <w:b w:val="1"/>
          <w:sz w:val="10"/>
        </w:rPr>
      </w:pPr>
    </w:p>
    <w:p>
      <w:pPr>
        <w:pStyle w:val="0"/>
        <w:spacing w:line="0" w:lineRule="atLeast"/>
        <w:ind w:firstLine="281" w:firstLineChars="100"/>
        <w:jc w:val="center"/>
        <w:rPr>
          <w:rFonts w:hint="default" w:asciiTheme="majorEastAsia" w:hAnsiTheme="majorEastAsia" w:eastAsiaTheme="majorEastAsia"/>
          <w:b w:val="1"/>
          <w:sz w:val="28"/>
        </w:rPr>
      </w:pPr>
      <w:r>
        <w:rPr>
          <w:rFonts w:hint="eastAsia" w:asciiTheme="majorEastAsia" w:hAnsiTheme="majorEastAsia" w:eastAsiaTheme="majorEastAsia"/>
          <w:b w:val="1"/>
          <w:sz w:val="28"/>
        </w:rPr>
        <w:t>（魚沼市における『身寄り』問題への対応支援に関するガイドライン）</w:t>
      </w:r>
    </w:p>
    <w:p>
      <w:pPr>
        <w:pStyle w:val="0"/>
        <w:spacing w:line="0" w:lineRule="atLeast"/>
        <w:rPr>
          <w:rFonts w:hint="default" w:asciiTheme="majorEastAsia" w:hAnsiTheme="majorEastAsia" w:eastAsiaTheme="majorEastAsia"/>
          <w:sz w:val="26"/>
        </w:rPr>
      </w:pPr>
    </w:p>
    <w:p>
      <w:pPr>
        <w:pStyle w:val="0"/>
        <w:spacing w:line="0" w:lineRule="atLeast"/>
        <w:rPr>
          <w:rFonts w:hint="default" w:asciiTheme="majorEastAsia" w:hAnsiTheme="majorEastAsia" w:eastAsiaTheme="majorEastAsia"/>
          <w:sz w:val="26"/>
        </w:rPr>
      </w:pPr>
    </w:p>
    <w:p>
      <w:pPr>
        <w:pStyle w:val="0"/>
        <w:spacing w:line="276" w:lineRule="auto"/>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身寄り』問題の本質は、これまでの日本の医療・介護・福祉が家族による支援を前提としてきたことと、本人の希望や“本人ならこう言うだろう”といった推定意思を伝える仕組み（これも家族の機能）がないことです。</w:t>
      </w:r>
    </w:p>
    <w:p>
      <w:pPr>
        <w:pStyle w:val="0"/>
        <w:spacing w:line="276" w:lineRule="auto"/>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そうした、これまで家族に求められてきた機能・役割を、本人を支えるチームで代替えすることにより、『身寄り』がないことにより起こる問題の解決を目指すシートです。</w:t>
      </w:r>
    </w:p>
    <w:p>
      <w:pPr>
        <w:pStyle w:val="0"/>
        <w:spacing w:line="276" w:lineRule="auto"/>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6"/>
        </w:rPr>
      </w:pPr>
      <w:r>
        <w:rPr>
          <w:rFonts w:hint="eastAsia" w:asciiTheme="majorEastAsia" w:hAnsiTheme="majorEastAsia" w:eastAsiaTheme="majorEastAsia"/>
          <w:sz w:val="26"/>
        </w:rPr>
        <w:t>※本人の意向を確認する際は、以下の点に留意して意思決定支援を行ってください。</w:t>
      </w:r>
    </w:p>
    <w:p>
      <w:pPr>
        <w:pStyle w:val="0"/>
        <w:spacing w:line="0" w:lineRule="atLeast"/>
        <w:ind w:firstLine="260" w:firstLineChars="100"/>
        <w:rPr>
          <w:rFonts w:hint="default" w:asciiTheme="majorEastAsia" w:hAnsiTheme="majorEastAsia" w:eastAsiaTheme="majorEastAsia"/>
          <w:sz w:val="26"/>
        </w:rPr>
      </w:pPr>
      <w:r>
        <w:rPr>
          <w:rFonts w:hint="default" w:asciiTheme="majorEastAsia" w:hAnsiTheme="majorEastAsia" w:eastAsiaTheme="majorEastAsia"/>
          <w:sz w:val="26"/>
        </w:rPr>
        <mc:AlternateContent>
          <mc:Choice Requires="wps">
            <w:drawing>
              <wp:anchor distT="0" distB="0" distL="114300" distR="114300" simplePos="0" relativeHeight="2" behindDoc="0" locked="0" layoutInCell="1" hidden="0" allowOverlap="1">
                <wp:simplePos x="0" y="0"/>
                <wp:positionH relativeFrom="margin">
                  <wp:align>left</wp:align>
                </wp:positionH>
                <wp:positionV relativeFrom="paragraph">
                  <wp:posOffset>142240</wp:posOffset>
                </wp:positionV>
                <wp:extent cx="6524625" cy="2686050"/>
                <wp:effectExtent l="635" t="635" r="29845" b="10795"/>
                <wp:wrapNone/>
                <wp:docPr id="1026" name="正方形/長方形 2"/>
                <a:graphic xmlns:a="http://schemas.openxmlformats.org/drawingml/2006/main">
                  <a:graphicData uri="http://schemas.microsoft.com/office/word/2010/wordprocessingShape">
                    <wps:wsp>
                      <wps:cNvPr id="1026" name="正方形/長方形 2"/>
                      <wps:cNvSpPr/>
                      <wps:spPr>
                        <a:xfrm>
                          <a:off x="0" y="0"/>
                          <a:ext cx="6524625" cy="2686050"/>
                        </a:xfrm>
                        <a:prstGeom prst="rect">
                          <a:avLst/>
                        </a:prstGeom>
                        <a:solidFill>
                          <a:sysClr val="window" lastClr="FFFFFF"/>
                        </a:solidFill>
                        <a:ln w="12700" cap="flat" cmpd="sng" algn="ctr">
                          <a:solidFill>
                            <a:sysClr val="windowText" lastClr="000000"/>
                          </a:solidFill>
                          <a:prstDash val="solid"/>
                          <a:miter lim="800000"/>
                        </a:ln>
                        <a:effectLst/>
                      </wps:spPr>
                      <wps:txbx>
                        <w:txbxContent>
                          <w:p>
                            <w:pPr>
                              <w:pStyle w:val="0"/>
                              <w:spacing w:line="360" w:lineRule="exact"/>
                              <w:ind w:left="240" w:right="374" w:rightChars="178"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❖重度の認知症や知的障がいがあっても、本人には意思があり、意思決定能力を有することを前提として関わります。</w:t>
                            </w:r>
                          </w:p>
                          <w:p>
                            <w:pPr>
                              <w:pStyle w:val="0"/>
                              <w:spacing w:line="360" w:lineRule="exact"/>
                              <w:ind w:left="240" w:right="361" w:rightChars="172"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本人が判断するために必要な情報を、本人が理解できる分かりやすい言葉や文字、図や絵などで説明してください。その際、支援者側の価値判断を挟まず、本人にとっての利益・不利益を一緒に考えていく姿勢が大切です。</w:t>
                            </w:r>
                          </w:p>
                          <w:p>
                            <w:pPr>
                              <w:pStyle w:val="0"/>
                              <w:spacing w:line="360" w:lineRule="exact"/>
                              <w:ind w:left="240" w:right="361" w:rightChars="172"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❖本人が安心して意思を表明できるよう、支援者の態度や人的・物的環境の整備に配慮してください。</w:t>
                            </w:r>
                          </w:p>
                          <w:p>
                            <w:pPr>
                              <w:pStyle w:val="0"/>
                              <w:spacing w:line="360" w:lineRule="exact"/>
                              <w:ind w:left="240" w:right="361" w:rightChars="172"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支援を尽くしても本人の意思を確認できない場合は、家族等（法的な意味での親族関係のみでなく、本人が信頼を寄せ、本人の利益を考え支える人をいいます）から本人の意思を推定できる情報を収集し、それを基本として本人にとっての最善の方策を検討します。ただし、これは代理代行決定で、意思決定支援とは区別して理解すべきです。</w:t>
                            </w:r>
                          </w:p>
                        </w:txbxContent>
                      </wps:txbx>
                      <wps:bodyPr rot="0" vertOverflow="overflow" horzOverflow="overflow" wrap="square" numCol="1" spcCol="0" rtlCol="0" fromWordArt="0" anchor="t" anchorCtr="0" forceAA="0" compatLnSpc="1"/>
                    </wps:wsp>
                  </a:graphicData>
                </a:graphic>
              </wp:anchor>
            </w:drawing>
          </mc:Choice>
          <mc:Fallback>
            <w:pict>
              <v:rect id="正方形/長方形 2" style="mso-wrap-distance-right:9pt;mso-wrap-distance-bottom:0pt;margin-top:11.2pt;mso-position-vertical-relative:text;mso-position-horizontal:left;mso-position-horizontal-relative:margin;v-text-anchor:top;position:absolute;height:211.5pt;mso-wrap-distance-top:0pt;width:513.75pt;mso-wrap-distance-left:9pt;z-index:2;" o:spid="_x0000_s1026" o:allowincell="t" o:allowoverlap="t" filled="t" fillcolor="#ffffff" stroked="t" strokecolor="#000000" strokeweight="1pt" o:spt="1">
                <v:fill/>
                <v:stroke linestyle="single" miterlimit="8" endcap="flat" dashstyle="solid" filltype="solid"/>
                <v:textbox style="layout-flow:horizontal;" inset="2.5399999999999996mm,1.2699999999999998mm,2.5399999999999996mm,1.2699999999999998mm">
                  <w:txbxContent>
                    <w:p>
                      <w:pPr>
                        <w:pStyle w:val="0"/>
                        <w:spacing w:line="360" w:lineRule="exact"/>
                        <w:ind w:left="240" w:right="374" w:rightChars="178"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❖重度の認知症や知的障がいがあっても、本人には意思があり、意思決定能力を有することを前提として関わります。</w:t>
                      </w:r>
                    </w:p>
                    <w:p>
                      <w:pPr>
                        <w:pStyle w:val="0"/>
                        <w:spacing w:line="360" w:lineRule="exact"/>
                        <w:ind w:left="240" w:right="361" w:rightChars="172"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本人が判断するために必要な情報を、本人が理解できる分かりやすい言葉や文字、図や絵などで説明してください。その際、支援者側の価値判断を挟まず、本人にとっての利益・不利益を一緒に考えていく姿勢が大切です。</w:t>
                      </w:r>
                    </w:p>
                    <w:p>
                      <w:pPr>
                        <w:pStyle w:val="0"/>
                        <w:spacing w:line="360" w:lineRule="exact"/>
                        <w:ind w:left="240" w:right="361" w:rightChars="172"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❖本人が安心して意思を表明できるよう、支援者の態度や人的・物的環境の整備に配慮してください。</w:t>
                      </w:r>
                    </w:p>
                    <w:p>
                      <w:pPr>
                        <w:pStyle w:val="0"/>
                        <w:spacing w:line="360" w:lineRule="exact"/>
                        <w:ind w:left="240" w:right="361" w:rightChars="172"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支援を尽くしても本人の意思を確認できない場合は、家族等（法的な意味での親族関係のみでなく、本人が信頼を寄せ、本人の利益を考え支える人をいいます）から本人の意思を推定できる情報を収集し、それを基本として本人にとっての最善の方策を検討します。ただし、これは代理代行決定で、意思決定支援とは区別して理解すべきです。</w:t>
                      </w:r>
                    </w:p>
                  </w:txbxContent>
                </v:textbox>
                <v:imagedata o:title=""/>
                <w10:wrap type="none" anchorx="margin" anchory="text"/>
              </v:rect>
            </w:pict>
          </mc:Fallback>
        </mc:AlternateContent>
      </w:r>
    </w:p>
    <w:p>
      <w:pPr>
        <w:pStyle w:val="0"/>
        <w:spacing w:line="0" w:lineRule="atLeast"/>
        <w:ind w:firstLine="260" w:firstLineChars="100"/>
        <w:rPr>
          <w:rFonts w:hint="default" w:asciiTheme="majorEastAsia" w:hAnsiTheme="majorEastAsia" w:eastAsiaTheme="majorEastAsia"/>
          <w:sz w:val="26"/>
        </w:rPr>
      </w:pPr>
    </w:p>
    <w:p>
      <w:pPr>
        <w:pStyle w:val="0"/>
        <w:spacing w:line="0" w:lineRule="atLeast"/>
        <w:ind w:firstLine="260" w:firstLineChars="100"/>
        <w:rPr>
          <w:rFonts w:hint="default" w:asciiTheme="majorEastAsia" w:hAnsiTheme="majorEastAsia" w:eastAsiaTheme="majorEastAsia"/>
          <w:sz w:val="26"/>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sz w:val="24"/>
        </w:rPr>
      </w:pPr>
    </w:p>
    <w:p>
      <w:pPr>
        <w:pStyle w:val="0"/>
        <w:spacing w:line="0" w:lineRule="atLeast"/>
        <w:rPr>
          <w:rFonts w:hint="default" w:asciiTheme="majorEastAsia" w:hAnsiTheme="majorEastAsia" w:eastAsiaTheme="majorEastAsia"/>
          <w:b w:val="1"/>
          <w:sz w:val="24"/>
        </w:rPr>
      </w:pPr>
    </w:p>
    <w:p>
      <w:pPr>
        <w:pStyle w:val="0"/>
        <w:spacing w:line="276" w:lineRule="auto"/>
        <w:rPr>
          <w:rFonts w:hint="default" w:asciiTheme="majorEastAsia" w:hAnsiTheme="majorEastAsia" w:eastAsiaTheme="majorEastAsia"/>
          <w:b w:val="1"/>
          <w:sz w:val="24"/>
        </w:rPr>
      </w:pPr>
      <w:r>
        <w:rPr>
          <w:rFonts w:hint="eastAsia" w:asciiTheme="majorEastAsia" w:hAnsiTheme="majorEastAsia" w:eastAsiaTheme="majorEastAsia"/>
          <w:b w:val="1"/>
          <w:sz w:val="24"/>
        </w:rPr>
        <w:t>（様式１）役割分担シート</w:t>
      </w:r>
    </w:p>
    <w:p>
      <w:pPr>
        <w:pStyle w:val="0"/>
        <w:spacing w:line="276" w:lineRule="auto"/>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福祉サービスの利用や入院・入所の際に、本来なら家族等に依頼する役割を、本人を支えるチームで分担することで、身元保証人等がいなくてもスムーズにサービスを利用できるようにするためのものです。</w:t>
      </w:r>
    </w:p>
    <w:p>
      <w:pPr>
        <w:pStyle w:val="0"/>
        <w:spacing w:line="276" w:lineRule="auto"/>
        <w:ind w:firstLine="480" w:firstLineChars="200"/>
        <w:rPr>
          <w:rFonts w:hint="default" w:asciiTheme="majorEastAsia" w:hAnsiTheme="majorEastAsia" w:eastAsiaTheme="majorEastAsia"/>
          <w:sz w:val="24"/>
        </w:rPr>
      </w:pPr>
      <w:r>
        <w:rPr>
          <w:rFonts w:hint="eastAsia" w:asciiTheme="majorEastAsia" w:hAnsiTheme="majorEastAsia" w:eastAsiaTheme="majorEastAsia"/>
          <w:sz w:val="24"/>
        </w:rPr>
        <w:t>本人の意思に基づく支援であることが重要ですので、会議は原則、本人参加で行います。</w:t>
      </w:r>
    </w:p>
    <w:p>
      <w:pPr>
        <w:pStyle w:val="0"/>
        <w:spacing w:line="276" w:lineRule="auto"/>
        <w:ind w:firstLine="240" w:firstLineChars="100"/>
        <w:rPr>
          <w:rFonts w:hint="default" w:asciiTheme="majorEastAsia" w:hAnsiTheme="majorEastAsia" w:eastAsiaTheme="majorEastAsia"/>
          <w:sz w:val="24"/>
        </w:rPr>
      </w:pPr>
    </w:p>
    <w:p>
      <w:pPr>
        <w:pStyle w:val="0"/>
        <w:spacing w:line="276" w:lineRule="auto"/>
        <w:ind w:firstLine="241" w:firstLineChars="100"/>
        <w:rPr>
          <w:rFonts w:hint="default" w:asciiTheme="majorEastAsia" w:hAnsiTheme="majorEastAsia" w:eastAsiaTheme="majorEastAsia"/>
          <w:b w:val="1"/>
          <w:sz w:val="24"/>
        </w:rPr>
      </w:pPr>
      <w:r>
        <w:rPr>
          <w:rFonts w:hint="eastAsia" w:asciiTheme="majorEastAsia" w:hAnsiTheme="majorEastAsia" w:eastAsiaTheme="majorEastAsia"/>
          <w:b w:val="1"/>
          <w:sz w:val="24"/>
        </w:rPr>
        <w:t>※想定される場面と流れ</w:t>
      </w:r>
    </w:p>
    <w:p>
      <w:pPr>
        <w:pStyle w:val="0"/>
        <w:spacing w:line="276" w:lineRule="auto"/>
        <w:ind w:firstLine="240" w:firstLineChars="100"/>
        <w:rPr>
          <w:rFonts w:hint="default" w:asciiTheme="majorEastAsia" w:hAnsiTheme="majorEastAsia" w:eastAsiaTheme="majorEastAsia"/>
          <w:sz w:val="24"/>
          <w:bdr w:val="single" w:color="auto" w:sz="4" w:space="0"/>
        </w:rPr>
      </w:pPr>
      <w:r>
        <w:rPr>
          <w:rFonts w:hint="eastAsia" w:asciiTheme="majorEastAsia" w:hAnsiTheme="majorEastAsia" w:eastAsiaTheme="majorEastAsia"/>
          <w:sz w:val="24"/>
          <w:bdr w:val="single" w:color="auto" w:sz="4" w:space="0"/>
        </w:rPr>
        <w:t>入院や入所等の際に身元保証人等がいない</w:t>
      </w:r>
    </w:p>
    <w:p>
      <w:pPr>
        <w:pStyle w:val="0"/>
        <w:spacing w:line="276" w:lineRule="auto"/>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①ＣＭ・病院・施設等（以下｢支援者等｣という。）から権利擁護サポートセンターに連絡する。</w:t>
      </w:r>
    </w:p>
    <w:p>
      <w:pPr>
        <w:pStyle w:val="0"/>
        <w:spacing w:line="276" w:lineRule="auto"/>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②権利擁護サポートセンターは行政を含むチームを招集しケース会議を開く。</w:t>
      </w:r>
    </w:p>
    <w:p>
      <w:pPr>
        <w:pStyle w:val="21"/>
        <w:numPr>
          <w:ilvl w:val="0"/>
          <w:numId w:val="1"/>
        </w:numPr>
        <w:spacing w:line="276" w:lineRule="auto"/>
        <w:ind w:leftChars="0"/>
        <w:rPr>
          <w:rFonts w:hint="default" w:asciiTheme="majorEastAsia" w:hAnsiTheme="majorEastAsia" w:eastAsiaTheme="majorEastAsia"/>
          <w:sz w:val="24"/>
        </w:rPr>
      </w:pPr>
      <w:r>
        <w:rPr>
          <w:rFonts w:hint="eastAsia" w:asciiTheme="majorEastAsia" w:hAnsiTheme="majorEastAsia" w:eastAsiaTheme="majorEastAsia"/>
          <w:sz w:val="24"/>
        </w:rPr>
        <w:t>事例報告：支援者等　／　進行：権利擁護サポートセンター</w:t>
      </w:r>
    </w:p>
    <w:p>
      <w:pPr>
        <w:pStyle w:val="0"/>
        <w:spacing w:line="276" w:lineRule="auto"/>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③ケース会議で支援シート（様式１）を使い、チームで役割分担を決める。</w:t>
      </w:r>
    </w:p>
    <w:p>
      <w:pPr>
        <w:pStyle w:val="0"/>
        <w:spacing w:line="276" w:lineRule="auto"/>
        <w:ind w:left="450" w:leftChars="10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④支援者等は、支援シート（様式１）を作成し、原本を本人へ、写しをチームに配付するとともに、支援シートをスキャンして、データをうおぬま・米ねっとに保存する。</w:t>
      </w:r>
    </w:p>
    <w:p>
      <w:pPr>
        <w:pStyle w:val="21"/>
        <w:numPr>
          <w:ilvl w:val="0"/>
          <w:numId w:val="1"/>
        </w:numPr>
        <w:spacing w:line="276" w:lineRule="auto"/>
        <w:ind w:leftChars="0"/>
        <w:rPr>
          <w:rFonts w:hint="default" w:asciiTheme="majorEastAsia" w:hAnsiTheme="majorEastAsia" w:eastAsiaTheme="majorEastAsia"/>
          <w:sz w:val="24"/>
        </w:rPr>
      </w:pPr>
      <w:r>
        <w:rPr>
          <w:rFonts w:hint="eastAsia" w:asciiTheme="majorEastAsia" w:hAnsiTheme="majorEastAsia" w:eastAsiaTheme="majorEastAsia"/>
          <w:sz w:val="24"/>
        </w:rPr>
        <w:t>ファイル名「役割分担シート（</w:t>
      </w:r>
      <w:r>
        <w:rPr>
          <w:rFonts w:hint="eastAsia" w:asciiTheme="majorEastAsia" w:hAnsiTheme="majorEastAsia" w:eastAsiaTheme="majorEastAsia"/>
          <w:sz w:val="24"/>
        </w:rPr>
        <w:t>202</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〇〇）」</w:t>
      </w:r>
    </w:p>
    <w:p>
      <w:pPr>
        <w:pStyle w:val="21"/>
        <w:numPr>
          <w:ilvl w:val="0"/>
          <w:numId w:val="1"/>
        </w:numPr>
        <w:spacing w:line="276" w:lineRule="auto"/>
        <w:ind w:leftChars="0"/>
        <w:rPr>
          <w:rFonts w:hint="default" w:asciiTheme="majorEastAsia" w:hAnsiTheme="majorEastAsia" w:eastAsiaTheme="majorEastAsia"/>
          <w:sz w:val="24"/>
        </w:rPr>
      </w:pPr>
      <w:r>
        <w:rPr>
          <w:rFonts w:hint="eastAsia" w:asciiTheme="majorEastAsia" w:hAnsiTheme="majorEastAsia" w:eastAsiaTheme="majorEastAsia"/>
          <w:sz w:val="24"/>
        </w:rPr>
        <w:t>うおぬま・米ねっと未登録の場合は、本人に登録を勧め、登録後、行政がうおぬま・米ねっとに保存する</w:t>
      </w:r>
    </w:p>
    <w:p>
      <w:pPr>
        <w:pStyle w:val="0"/>
        <w:spacing w:line="276" w:lineRule="auto"/>
        <w:ind w:left="450" w:leftChars="10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⑤退院等により支援者等による関わりがなくなる場合は、行政が定期的（</w:t>
      </w:r>
      <w:r>
        <w:rPr>
          <w:rFonts w:hint="eastAsia" w:asciiTheme="majorEastAsia" w:hAnsiTheme="majorEastAsia" w:eastAsiaTheme="majorEastAsia"/>
          <w:sz w:val="24"/>
        </w:rPr>
        <w:t>1</w:t>
      </w:r>
      <w:r>
        <w:rPr>
          <w:rFonts w:hint="eastAsia" w:asciiTheme="majorEastAsia" w:hAnsiTheme="majorEastAsia" w:eastAsiaTheme="majorEastAsia"/>
          <w:sz w:val="24"/>
        </w:rPr>
        <w:t>年毎）に本人の状況を確認し、必要に応じてチームを招集し、ケース会議を開く。</w:t>
      </w:r>
    </w:p>
    <w:p>
      <w:pPr>
        <w:pStyle w:val="21"/>
        <w:numPr>
          <w:ilvl w:val="0"/>
          <w:numId w:val="1"/>
        </w:numPr>
        <w:spacing w:line="276" w:lineRule="auto"/>
        <w:ind w:leftChars="0"/>
        <w:rPr>
          <w:rFonts w:hint="default" w:asciiTheme="majorEastAsia" w:hAnsiTheme="majorEastAsia" w:eastAsiaTheme="majorEastAsia"/>
          <w:sz w:val="24"/>
        </w:rPr>
      </w:pPr>
      <w:r>
        <w:rPr>
          <w:rFonts w:hint="eastAsia" w:asciiTheme="majorEastAsia" w:hAnsiTheme="majorEastAsia" w:eastAsiaTheme="majorEastAsia"/>
          <w:sz w:val="24"/>
        </w:rPr>
        <w:t>事例報告：行政　／　進行：権利擁護サポートセンター</w:t>
      </w:r>
    </w:p>
    <w:p>
      <w:pPr>
        <w:pStyle w:val="0"/>
        <w:spacing w:line="276" w:lineRule="auto"/>
        <w:ind w:left="450" w:leftChars="10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⑥行政は、支援シート（様式１）を作成し、原本を本人へ、写しをチームに配付するとともに、支援シートをスキャンして、データをうおぬま・米ねっとに保存する。</w:t>
      </w:r>
    </w:p>
    <w:p>
      <w:pPr>
        <w:pStyle w:val="21"/>
        <w:numPr>
          <w:ilvl w:val="0"/>
          <w:numId w:val="1"/>
        </w:numPr>
        <w:spacing w:line="276" w:lineRule="auto"/>
        <w:ind w:leftChars="0"/>
        <w:rPr>
          <w:rFonts w:hint="default" w:asciiTheme="majorEastAsia" w:hAnsiTheme="majorEastAsia" w:eastAsiaTheme="majorEastAsia"/>
          <w:sz w:val="24"/>
        </w:rPr>
      </w:pPr>
      <w:r>
        <w:rPr>
          <w:rFonts w:hint="eastAsia" w:asciiTheme="majorEastAsia" w:hAnsiTheme="majorEastAsia" w:eastAsiaTheme="majorEastAsia"/>
          <w:sz w:val="24"/>
        </w:rPr>
        <w:t>ファイル名「役割分担シート（</w:t>
      </w:r>
      <w:r>
        <w:rPr>
          <w:rFonts w:hint="eastAsia" w:asciiTheme="majorEastAsia" w:hAnsiTheme="majorEastAsia" w:eastAsiaTheme="majorEastAsia"/>
          <w:sz w:val="24"/>
        </w:rPr>
        <w:t>202</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p>
    <w:p>
      <w:pPr>
        <w:pStyle w:val="0"/>
        <w:spacing w:line="276" w:lineRule="auto"/>
        <w:rPr>
          <w:rFonts w:hint="default" w:asciiTheme="majorEastAsia" w:hAnsiTheme="majorEastAsia" w:eastAsiaTheme="majorEastAsia"/>
          <w:sz w:val="24"/>
        </w:rPr>
      </w:pPr>
    </w:p>
    <w:p>
      <w:pPr>
        <w:pStyle w:val="0"/>
        <w:spacing w:line="276" w:lineRule="auto"/>
        <w:rPr>
          <w:rFonts w:hint="default" w:asciiTheme="majorEastAsia" w:hAnsiTheme="majorEastAsia" w:eastAsiaTheme="majorEastAsia"/>
          <w:b w:val="1"/>
          <w:sz w:val="24"/>
        </w:rPr>
      </w:pPr>
      <w:r>
        <w:rPr>
          <w:rFonts w:hint="eastAsia" w:asciiTheme="majorEastAsia" w:hAnsiTheme="majorEastAsia" w:eastAsiaTheme="majorEastAsia"/>
          <w:b w:val="1"/>
          <w:sz w:val="24"/>
        </w:rPr>
        <w:t>（様式２）“もしもの時”の意思確認シート</w:t>
      </w:r>
    </w:p>
    <w:p>
      <w:pPr>
        <w:pStyle w:val="0"/>
        <w:spacing w:line="276" w:lineRule="auto"/>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自身が望む医療やケアについて、前もって考え、本人が信頼する人と繰り返し話し合い、共有するため</w:t>
      </w:r>
      <w:r>
        <w:rPr>
          <w:rFonts w:hint="default" w:asciiTheme="majorEastAsia" w:hAnsiTheme="majorEastAsia" w:eastAsiaTheme="majorEastAsia"/>
          <w:sz w:val="24"/>
        </w:rPr>
        <w:t>のシートです。</w:t>
      </w:r>
    </w:p>
    <w:p>
      <w:pPr>
        <w:pStyle w:val="0"/>
        <w:spacing w:line="276" w:lineRule="auto"/>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もしも、本人が事故や病気などで自分の意思を伝えることができなくなった時、医療・ケアチームはこの情報を参考に、本人にとって最善の方針をとります。</w:t>
      </w:r>
    </w:p>
    <w:p>
      <w:pPr>
        <w:pStyle w:val="0"/>
        <w:spacing w:line="276" w:lineRule="auto"/>
        <w:ind w:firstLine="240" w:firstLineChars="100"/>
        <w:rPr>
          <w:rFonts w:hint="default" w:asciiTheme="majorEastAsia" w:hAnsiTheme="majorEastAsia" w:eastAsiaTheme="majorEastAsia"/>
          <w:sz w:val="24"/>
        </w:rPr>
      </w:pPr>
    </w:p>
    <w:p>
      <w:pPr>
        <w:pStyle w:val="0"/>
        <w:spacing w:line="276" w:lineRule="auto"/>
        <w:ind w:firstLine="241" w:firstLineChars="100"/>
        <w:rPr>
          <w:rFonts w:hint="default" w:asciiTheme="majorEastAsia" w:hAnsiTheme="majorEastAsia" w:eastAsiaTheme="majorEastAsia"/>
          <w:b w:val="1"/>
          <w:sz w:val="24"/>
        </w:rPr>
      </w:pPr>
      <w:r>
        <w:rPr>
          <w:rFonts w:hint="eastAsia" w:asciiTheme="majorEastAsia" w:hAnsiTheme="majorEastAsia" w:eastAsiaTheme="majorEastAsia"/>
          <w:b w:val="1"/>
          <w:sz w:val="24"/>
        </w:rPr>
        <w:t>※想定される場面と流れ</w:t>
      </w:r>
    </w:p>
    <w:p>
      <w:pPr>
        <w:pStyle w:val="0"/>
        <w:spacing w:line="276" w:lineRule="auto"/>
        <w:ind w:firstLine="240" w:firstLineChars="100"/>
        <w:rPr>
          <w:rFonts w:hint="default" w:asciiTheme="majorEastAsia" w:hAnsiTheme="majorEastAsia" w:eastAsiaTheme="majorEastAsia"/>
          <w:sz w:val="24"/>
          <w:bdr w:val="single" w:color="auto" w:sz="4" w:space="0"/>
        </w:rPr>
      </w:pPr>
      <w:r>
        <w:rPr>
          <w:rFonts w:hint="eastAsia" w:asciiTheme="majorEastAsia" w:hAnsiTheme="majorEastAsia" w:eastAsiaTheme="majorEastAsia"/>
          <w:sz w:val="24"/>
          <w:bdr w:val="single" w:color="auto" w:sz="4" w:space="0"/>
        </w:rPr>
        <w:t>訪問やモニタリングなど本人と面談する時（随時）</w:t>
      </w:r>
    </w:p>
    <w:p>
      <w:pPr>
        <w:pStyle w:val="0"/>
        <w:spacing w:line="276" w:lineRule="auto"/>
        <w:ind w:left="210" w:leftChars="100"/>
        <w:rPr>
          <w:rFonts w:hint="default" w:asciiTheme="majorEastAsia" w:hAnsiTheme="majorEastAsia" w:eastAsiaTheme="majorEastAsia"/>
          <w:sz w:val="24"/>
        </w:rPr>
      </w:pPr>
      <w:r>
        <w:rPr>
          <w:rFonts w:hint="eastAsia" w:asciiTheme="majorEastAsia" w:hAnsiTheme="majorEastAsia" w:eastAsiaTheme="majorEastAsia"/>
          <w:sz w:val="24"/>
        </w:rPr>
        <w:t>①いきなり核心を聞かない</w:t>
      </w:r>
    </w:p>
    <w:p>
      <w:pPr>
        <w:pStyle w:val="0"/>
        <w:spacing w:line="276" w:lineRule="auto"/>
        <w:ind w:left="660" w:leftChars="20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　ＡＣＰは、「どんな時間が心地いいか」「人生で何を大切にしているか」「自分らしく過ごすにはどんなサポートが必要か」といった、その人らしさを守るための価値観の確認です。支援シートの項目をうめることが目的ではありません。</w:t>
      </w:r>
    </w:p>
    <w:p>
      <w:pPr>
        <w:pStyle w:val="0"/>
        <w:spacing w:line="276" w:lineRule="auto"/>
        <w:ind w:left="660" w:leftChars="20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　年のはじめや誕生日などの節目に、「今年はどんな一年にしたい？」といった質問から切り出すとよいでしょう。その後、「今までで一番頑張ってきたと思うことは？」「最近幸せだと感じた瞬間は？」「これからも大切にしたいことは何？」というように、過去から現在の順で聞き取ることで、自然と未来の話が引き出せます。</w:t>
      </w:r>
    </w:p>
    <w:p>
      <w:pPr>
        <w:pStyle w:val="0"/>
        <w:spacing w:line="276" w:lineRule="auto"/>
        <w:ind w:left="210" w:leftChars="100"/>
        <w:rPr>
          <w:rFonts w:hint="default" w:asciiTheme="majorEastAsia" w:hAnsiTheme="majorEastAsia" w:eastAsiaTheme="majorEastAsia"/>
          <w:sz w:val="24"/>
        </w:rPr>
      </w:pPr>
      <w:r>
        <w:rPr>
          <w:rFonts w:hint="eastAsia" w:asciiTheme="majorEastAsia" w:hAnsiTheme="majorEastAsia" w:eastAsiaTheme="majorEastAsia"/>
          <w:sz w:val="24"/>
        </w:rPr>
        <w:t>②少しずつ医療の話題に触れていく</w:t>
      </w:r>
    </w:p>
    <w:p>
      <w:pPr>
        <w:pStyle w:val="21"/>
        <w:numPr>
          <w:ilvl w:val="0"/>
          <w:numId w:val="1"/>
        </w:numPr>
        <w:spacing w:line="276" w:lineRule="auto"/>
        <w:ind w:leftChars="0"/>
        <w:rPr>
          <w:rFonts w:hint="default" w:asciiTheme="majorEastAsia" w:hAnsiTheme="majorEastAsia" w:eastAsiaTheme="majorEastAsia"/>
          <w:sz w:val="24"/>
        </w:rPr>
      </w:pPr>
      <w:r>
        <w:rPr>
          <w:rFonts w:hint="eastAsia" w:asciiTheme="majorEastAsia" w:hAnsiTheme="majorEastAsia" w:eastAsiaTheme="majorEastAsia"/>
          <w:sz w:val="24"/>
        </w:rPr>
        <w:t>「身体がしんどいとき、どんな風に過ごせたら安心？」「病院の方が安心？家の方が落ち着く？」「どのくらいの治療を受けたい？」と徐々に医療の話題に触れていきます。</w:t>
      </w:r>
    </w:p>
    <w:p>
      <w:pPr>
        <w:pStyle w:val="0"/>
        <w:spacing w:line="276" w:lineRule="auto"/>
        <w:ind w:left="450" w:leftChars="10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③支援者等は、支援シート（様式２）を作成し、原本を本人へ、スキャンしたデータをうおぬま・米ねっとに保存する。</w:t>
      </w:r>
    </w:p>
    <w:p>
      <w:pPr>
        <w:pStyle w:val="21"/>
        <w:numPr>
          <w:ilvl w:val="0"/>
          <w:numId w:val="1"/>
        </w:numPr>
        <w:spacing w:line="276" w:lineRule="auto"/>
        <w:ind w:leftChars="0"/>
        <w:rPr>
          <w:rFonts w:hint="default" w:asciiTheme="majorEastAsia" w:hAnsiTheme="majorEastAsia" w:eastAsiaTheme="majorEastAsia"/>
          <w:sz w:val="24"/>
        </w:rPr>
      </w:pPr>
      <w:r>
        <w:rPr>
          <w:rFonts w:hint="eastAsia" w:asciiTheme="majorEastAsia" w:hAnsiTheme="majorEastAsia" w:eastAsiaTheme="majorEastAsia"/>
          <w:sz w:val="24"/>
        </w:rPr>
        <w:t>ファイル名「もしもの時の意思確認シート（</w:t>
      </w:r>
      <w:r>
        <w:rPr>
          <w:rFonts w:hint="eastAsia" w:asciiTheme="majorEastAsia" w:hAnsiTheme="majorEastAsia" w:eastAsiaTheme="majorEastAsia"/>
          <w:sz w:val="24"/>
        </w:rPr>
        <w:t>202</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〇〇）」</w:t>
      </w:r>
    </w:p>
    <w:p>
      <w:pPr>
        <w:pStyle w:val="0"/>
        <w:spacing w:line="276" w:lineRule="auto"/>
        <w:ind w:left="480" w:hanging="480" w:hangingChars="200"/>
        <w:rPr>
          <w:rFonts w:hint="default" w:asciiTheme="majorEastAsia" w:hAnsiTheme="majorEastAsia" w:eastAsiaTheme="majorEastAsia"/>
          <w:sz w:val="24"/>
        </w:rPr>
      </w:pPr>
      <w:r>
        <w:rPr>
          <w:rFonts w:hint="eastAsia" w:asciiTheme="majorEastAsia" w:hAnsiTheme="majorEastAsia" w:eastAsiaTheme="majorEastAsia"/>
          <w:sz w:val="24"/>
        </w:rPr>
        <w:t>　④支援者等は、機会があるごとに支援シート（様式２）を更新し、うおぬま・米ねっとに保存する。</w:t>
      </w:r>
    </w:p>
    <w:p>
      <w:pPr>
        <w:pStyle w:val="21"/>
        <w:numPr>
          <w:ilvl w:val="0"/>
          <w:numId w:val="1"/>
        </w:numPr>
        <w:spacing w:line="276" w:lineRule="auto"/>
        <w:ind w:leftChars="0"/>
        <w:rPr>
          <w:rFonts w:hint="default" w:asciiTheme="majorEastAsia" w:hAnsiTheme="majorEastAsia" w:eastAsiaTheme="majorEastAsia"/>
          <w:sz w:val="24"/>
        </w:rPr>
      </w:pPr>
      <w:r>
        <w:rPr>
          <w:rFonts w:hint="eastAsia" w:asciiTheme="majorEastAsia" w:hAnsiTheme="majorEastAsia" w:eastAsiaTheme="majorEastAsia"/>
          <w:sz w:val="24"/>
        </w:rPr>
        <w:t>ファイル名「もしもの時の意思確認シート（</w:t>
      </w:r>
      <w:r>
        <w:rPr>
          <w:rFonts w:hint="eastAsia" w:asciiTheme="majorEastAsia" w:hAnsiTheme="majorEastAsia" w:eastAsiaTheme="majorEastAsia"/>
          <w:sz w:val="24"/>
        </w:rPr>
        <w:t>202</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p>
    <w:p>
      <w:pPr>
        <w:pStyle w:val="0"/>
        <w:spacing w:line="276" w:lineRule="auto"/>
        <w:ind w:left="210" w:leftChars="100"/>
        <w:rPr>
          <w:rFonts w:hint="default" w:asciiTheme="majorEastAsia" w:hAnsiTheme="majorEastAsia" w:eastAsiaTheme="majorEastAsia"/>
          <w:sz w:val="24"/>
        </w:rPr>
      </w:pPr>
    </w:p>
    <w:p>
      <w:pPr>
        <w:pStyle w:val="0"/>
        <w:spacing w:line="276" w:lineRule="auto"/>
        <w:rPr>
          <w:rFonts w:hint="default" w:asciiTheme="majorEastAsia" w:hAnsiTheme="majorEastAsia" w:eastAsiaTheme="majorEastAsia"/>
          <w:b w:val="1"/>
          <w:sz w:val="24"/>
        </w:rPr>
      </w:pPr>
      <w:r>
        <w:rPr>
          <w:rFonts w:hint="eastAsia" w:asciiTheme="majorEastAsia" w:hAnsiTheme="majorEastAsia" w:eastAsiaTheme="majorEastAsia"/>
          <w:b w:val="1"/>
          <w:sz w:val="24"/>
        </w:rPr>
        <w:t>（様式３）終活情報シート</w:t>
      </w:r>
    </w:p>
    <w:p>
      <w:pPr>
        <w:pStyle w:val="0"/>
        <w:spacing w:line="276" w:lineRule="auto"/>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墓地や葬儀の生前契約、遺言書の保管場所などの終活情報を、うおぬま・米ねっとに登録しておき、本人が亡くなったときに、消防や福祉事務所、警察のほか、本人が指定した方からの問い合わせに、情報を提供するためのシートです。</w:t>
      </w:r>
    </w:p>
    <w:p>
      <w:pPr>
        <w:pStyle w:val="0"/>
        <w:spacing w:line="276" w:lineRule="auto"/>
        <w:ind w:firstLine="241" w:firstLineChars="100"/>
        <w:rPr>
          <w:rFonts w:hint="default" w:asciiTheme="majorEastAsia" w:hAnsiTheme="majorEastAsia" w:eastAsiaTheme="majorEastAsia"/>
          <w:b w:val="1"/>
          <w:sz w:val="24"/>
        </w:rPr>
      </w:pPr>
    </w:p>
    <w:p>
      <w:pPr>
        <w:pStyle w:val="0"/>
        <w:spacing w:line="276" w:lineRule="auto"/>
        <w:ind w:firstLine="241" w:firstLineChars="100"/>
        <w:rPr>
          <w:rFonts w:hint="default" w:asciiTheme="majorEastAsia" w:hAnsiTheme="majorEastAsia" w:eastAsiaTheme="majorEastAsia"/>
          <w:b w:val="1"/>
          <w:sz w:val="24"/>
        </w:rPr>
      </w:pPr>
      <w:r>
        <w:rPr>
          <w:rFonts w:hint="eastAsia" w:asciiTheme="majorEastAsia" w:hAnsiTheme="majorEastAsia" w:eastAsiaTheme="majorEastAsia"/>
          <w:b w:val="1"/>
          <w:sz w:val="24"/>
        </w:rPr>
        <w:t>※想定される場面と流れ</w:t>
      </w:r>
    </w:p>
    <w:p>
      <w:pPr>
        <w:pStyle w:val="0"/>
        <w:spacing w:line="276" w:lineRule="auto"/>
        <w:ind w:firstLine="240" w:firstLineChars="100"/>
        <w:rPr>
          <w:rFonts w:hint="default" w:asciiTheme="majorEastAsia" w:hAnsiTheme="majorEastAsia" w:eastAsiaTheme="majorEastAsia"/>
          <w:sz w:val="24"/>
          <w:bdr w:val="single" w:color="auto" w:sz="4" w:space="0"/>
        </w:rPr>
      </w:pPr>
      <w:r>
        <w:rPr>
          <w:rFonts w:hint="eastAsia" w:asciiTheme="majorEastAsia" w:hAnsiTheme="majorEastAsia" w:eastAsiaTheme="majorEastAsia"/>
          <w:sz w:val="24"/>
          <w:bdr w:val="single" w:color="auto" w:sz="4" w:space="0"/>
        </w:rPr>
        <w:t>本人から終活情報を登録したいという希望があったとき</w:t>
      </w:r>
    </w:p>
    <w:p>
      <w:pPr>
        <w:pStyle w:val="0"/>
        <w:spacing w:line="276" w:lineRule="auto"/>
        <w:ind w:left="450" w:leftChars="10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①本人及び、支援者等（行政、中核機関含む）は、支援シート（様式３）を作成し、原本を行政に提出する。</w:t>
      </w:r>
    </w:p>
    <w:p>
      <w:pPr>
        <w:pStyle w:val="0"/>
        <w:spacing w:line="276" w:lineRule="auto"/>
        <w:ind w:left="450" w:leftChars="10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②行政は、原本を保管するとともに、スキャンしてデータをうおぬま・米ねっとに保存する（ＰＤＦデータにパスワードを設定する）。本人へは写しを控えとして渡す。</w:t>
      </w:r>
    </w:p>
    <w:p>
      <w:pPr>
        <w:pStyle w:val="21"/>
        <w:numPr>
          <w:ilvl w:val="0"/>
          <w:numId w:val="1"/>
        </w:numPr>
        <w:spacing w:line="276" w:lineRule="auto"/>
        <w:ind w:leftChars="0"/>
        <w:rPr>
          <w:rFonts w:hint="default" w:asciiTheme="majorEastAsia" w:hAnsiTheme="majorEastAsia" w:eastAsiaTheme="majorEastAsia"/>
          <w:sz w:val="24"/>
        </w:rPr>
      </w:pPr>
      <w:r>
        <w:rPr>
          <w:rFonts w:hint="eastAsia" w:asciiTheme="majorEastAsia" w:hAnsiTheme="majorEastAsia" w:eastAsiaTheme="majorEastAsia"/>
          <w:sz w:val="24"/>
        </w:rPr>
        <w:t>ファイル名「終活情報シート（</w:t>
      </w:r>
      <w:r>
        <w:rPr>
          <w:rFonts w:hint="eastAsia" w:asciiTheme="majorEastAsia" w:hAnsiTheme="majorEastAsia" w:eastAsiaTheme="majorEastAsia"/>
          <w:sz w:val="24"/>
        </w:rPr>
        <w:t>202</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〇〇）」</w:t>
      </w:r>
    </w:p>
    <w:p>
      <w:pPr>
        <w:pStyle w:val="0"/>
        <w:spacing w:line="276" w:lineRule="auto"/>
        <w:ind w:left="450" w:leftChars="100" w:hanging="240" w:hangingChars="100"/>
        <w:rPr>
          <w:rFonts w:hint="default" w:asciiTheme="majorEastAsia" w:hAnsiTheme="majorEastAsia" w:eastAsiaTheme="majorEastAsia"/>
          <w:sz w:val="24"/>
        </w:rPr>
      </w:pPr>
      <w:r>
        <w:rPr>
          <w:rFonts w:hint="eastAsia" w:asciiTheme="majorEastAsia" w:hAnsiTheme="majorEastAsia" w:eastAsiaTheme="majorEastAsia"/>
          <w:sz w:val="24"/>
        </w:rPr>
        <w:t>③本人からの申し出があった場合、行政は更新した支援シート（様式３）をスキャンして、データをうおぬま・米ねっとに保存する。</w:t>
      </w:r>
    </w:p>
    <w:p>
      <w:pPr>
        <w:pStyle w:val="21"/>
        <w:numPr>
          <w:ilvl w:val="0"/>
          <w:numId w:val="1"/>
        </w:numPr>
        <w:spacing w:line="276" w:lineRule="auto"/>
        <w:ind w:leftChars="0"/>
        <w:rPr>
          <w:rFonts w:hint="default" w:asciiTheme="majorEastAsia" w:hAnsiTheme="majorEastAsia" w:eastAsiaTheme="majorEastAsia"/>
          <w:sz w:val="24"/>
        </w:rPr>
      </w:pPr>
      <w:r>
        <w:rPr>
          <w:rFonts w:hint="eastAsia" w:asciiTheme="majorEastAsia" w:hAnsiTheme="majorEastAsia" w:eastAsiaTheme="majorEastAsia"/>
          <w:sz w:val="24"/>
        </w:rPr>
        <w:t>ファイル名「終活情報シート（</w:t>
      </w:r>
      <w:r>
        <w:rPr>
          <w:rFonts w:hint="eastAsia" w:asciiTheme="majorEastAsia" w:hAnsiTheme="majorEastAsia" w:eastAsiaTheme="majorEastAsia"/>
          <w:sz w:val="24"/>
        </w:rPr>
        <w:t>202</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r>
        <w:rPr>
          <w:rFonts w:hint="eastAsia" w:asciiTheme="majorEastAsia" w:hAnsiTheme="majorEastAsia" w:eastAsiaTheme="majorEastAsia"/>
          <w:sz w:val="24"/>
        </w:rPr>
        <w:t>××）」</w:t>
      </w:r>
    </w:p>
    <w:p>
      <w:pPr>
        <w:pStyle w:val="0"/>
        <w:spacing w:line="276" w:lineRule="auto"/>
        <w:ind w:left="480" w:hanging="480" w:hangingChars="200"/>
        <w:rPr>
          <w:rFonts w:hint="default" w:asciiTheme="majorEastAsia" w:hAnsiTheme="majorEastAsia" w:eastAsiaTheme="majorEastAsia"/>
          <w:sz w:val="24"/>
        </w:rPr>
      </w:pPr>
      <w:r>
        <w:rPr>
          <w:rFonts w:hint="eastAsia" w:asciiTheme="majorEastAsia" w:hAnsiTheme="majorEastAsia" w:eastAsiaTheme="majorEastAsia"/>
          <w:sz w:val="24"/>
        </w:rPr>
        <w:t>　④本人が死亡し、警察、消防署、福祉事務所、医療機関及び本人が指定した者からの請求があった場合、行政は支援シート（様式３）を開示する。</w:t>
      </w:r>
    </w:p>
    <w:p>
      <w:pPr>
        <w:pStyle w:val="0"/>
        <w:spacing w:line="276" w:lineRule="auto"/>
        <w:ind w:left="210" w:leftChars="100"/>
        <w:rPr>
          <w:rFonts w:hint="default" w:asciiTheme="majorEastAsia" w:hAnsiTheme="majorEastAsia" w:eastAsiaTheme="majorEastAsia"/>
          <w:sz w:val="24"/>
        </w:rPr>
      </w:pPr>
    </w:p>
    <w:p>
      <w:pPr>
        <w:pStyle w:val="0"/>
        <w:spacing w:line="276" w:lineRule="auto"/>
        <w:ind w:left="210" w:leftChars="100"/>
        <w:rPr>
          <w:rFonts w:hint="default" w:asciiTheme="majorEastAsia" w:hAnsiTheme="majorEastAsia" w:eastAsiaTheme="majorEastAsia"/>
          <w:sz w:val="24"/>
        </w:rPr>
      </w:pPr>
    </w:p>
    <w:p>
      <w:pPr>
        <w:pStyle w:val="0"/>
        <w:spacing w:line="276" w:lineRule="auto"/>
        <w:ind w:left="210" w:leftChars="100"/>
        <w:rPr>
          <w:rFonts w:hint="default" w:asciiTheme="majorEastAsia" w:hAnsiTheme="majorEastAsia" w:eastAsiaTheme="majorEastAsia"/>
          <w:sz w:val="24"/>
        </w:rPr>
      </w:pPr>
    </w:p>
    <w:p>
      <w:pPr>
        <w:pStyle w:val="0"/>
        <w:spacing w:line="276" w:lineRule="auto"/>
        <w:ind w:left="210" w:leftChars="100"/>
        <w:rPr>
          <w:rFonts w:hint="default" w:asciiTheme="majorEastAsia" w:hAnsiTheme="majorEastAsia" w:eastAsiaTheme="majorEastAsia"/>
          <w:sz w:val="24"/>
        </w:rPr>
      </w:pPr>
    </w:p>
    <w:p>
      <w:pPr>
        <w:pStyle w:val="0"/>
        <w:spacing w:line="276" w:lineRule="auto"/>
        <w:ind w:left="210" w:leftChars="100"/>
        <w:rPr>
          <w:rFonts w:hint="default" w:asciiTheme="majorEastAsia" w:hAnsiTheme="majorEastAsia" w:eastAsiaTheme="majorEastAsia"/>
          <w:sz w:val="24"/>
        </w:rPr>
      </w:pPr>
    </w:p>
    <w:p>
      <w:pPr>
        <w:pStyle w:val="0"/>
        <w:spacing w:line="276" w:lineRule="auto"/>
        <w:ind w:left="210" w:leftChars="100"/>
        <w:rPr>
          <w:rFonts w:hint="default" w:asciiTheme="majorEastAsia" w:hAnsiTheme="majorEastAsia" w:eastAsiaTheme="majorEastAsia"/>
          <w:sz w:val="24"/>
        </w:rPr>
      </w:pPr>
      <w:r>
        <w:rPr>
          <w:rFonts w:hint="eastAsia" w:asciiTheme="majorEastAsia" w:hAnsiTheme="majorEastAsia" w:eastAsiaTheme="majorEastAsia"/>
          <w:sz w:val="24"/>
        </w:rPr>
        <w:t>※ここで確認する内容はとても繊細で慎重に取り扱う必要があります。中には落ち込んだり怒り出す方もいるでしょう。本人との信頼関係を築いた上で、聞き取るタイミングや環境にも配慮が必要です。</w:t>
      </w:r>
    </w:p>
    <w:p>
      <w:pPr>
        <w:pStyle w:val="0"/>
        <w:spacing w:line="276" w:lineRule="auto"/>
        <w:ind w:left="210" w:leftChars="100"/>
        <w:rPr>
          <w:rFonts w:hint="default" w:asciiTheme="majorEastAsia" w:hAnsiTheme="majorEastAsia" w:eastAsiaTheme="majorEastAsia"/>
          <w:sz w:val="24"/>
        </w:rPr>
      </w:pPr>
      <w:r>
        <w:rPr>
          <w:rFonts w:hint="eastAsia" w:asciiTheme="majorEastAsia" w:hAnsiTheme="majorEastAsia" w:eastAsiaTheme="majorEastAsia"/>
          <w:sz w:val="24"/>
        </w:rPr>
        <w:t>聞き取った内容をまとめ、本人署名の上、本人と支援チームに配付するとともに、うおぬま・米ねっと（その他の３）に保存し共有します。</w:t>
      </w:r>
    </w:p>
    <w:p>
      <w:pPr>
        <w:pStyle w:val="0"/>
        <w:spacing w:line="276" w:lineRule="auto"/>
        <w:rPr>
          <w:rFonts w:hint="default" w:asciiTheme="majorEastAsia" w:hAnsiTheme="majorEastAsia" w:eastAsiaTheme="majorEastAsia"/>
          <w:sz w:val="24"/>
        </w:rPr>
      </w:pPr>
    </w:p>
    <w:p>
      <w:pPr>
        <w:pStyle w:val="0"/>
        <w:spacing w:line="276" w:lineRule="auto"/>
        <w:rPr>
          <w:rFonts w:hint="default" w:asciiTheme="majorEastAsia" w:hAnsiTheme="majorEastAsia" w:eastAsiaTheme="majorEastAsia"/>
          <w:sz w:val="24"/>
        </w:rPr>
      </w:pPr>
    </w:p>
    <w:p>
      <w:pPr>
        <w:pStyle w:val="0"/>
        <w:spacing w:line="276" w:lineRule="auto"/>
        <w:ind w:left="210" w:leftChars="100"/>
        <w:rPr>
          <w:rFonts w:hint="default" w:asciiTheme="majorEastAsia" w:hAnsiTheme="majorEastAsia" w:eastAsiaTheme="majorEastAsia"/>
          <w:b w:val="1"/>
          <w:sz w:val="24"/>
        </w:rPr>
      </w:pPr>
      <w:r>
        <w:rPr>
          <w:rFonts w:hint="default" w:asciiTheme="majorEastAsia" w:hAnsiTheme="majorEastAsia" w:eastAsiaTheme="majorEastAsia"/>
          <w:b w:val="1"/>
          <w:sz w:val="24"/>
        </w:rPr>
        <w:t>個人情報の取り扱いについて</w:t>
      </w:r>
    </w:p>
    <w:p>
      <w:pPr>
        <w:pStyle w:val="0"/>
        <w:spacing w:line="276" w:lineRule="auto"/>
        <w:ind w:left="210" w:leftChars="100"/>
        <w:rPr>
          <w:rFonts w:hint="default" w:asciiTheme="majorEastAsia" w:hAnsiTheme="majorEastAsia" w:eastAsiaTheme="majorEastAsia"/>
          <w:sz w:val="24"/>
        </w:rPr>
      </w:pPr>
      <w:r>
        <w:rPr>
          <w:rFonts w:hint="eastAsia" w:asciiTheme="majorEastAsia" w:hAnsiTheme="majorEastAsia" w:eastAsiaTheme="majorEastAsia"/>
          <w:sz w:val="24"/>
        </w:rPr>
        <w:t>１．</w:t>
      </w:r>
      <w:r>
        <w:rPr>
          <w:rFonts w:hint="default" w:asciiTheme="majorEastAsia" w:hAnsiTheme="majorEastAsia" w:eastAsiaTheme="majorEastAsia"/>
          <w:sz w:val="24"/>
        </w:rPr>
        <w:t>利用目的</w:t>
      </w:r>
    </w:p>
    <w:p>
      <w:pPr>
        <w:pStyle w:val="0"/>
        <w:spacing w:line="276" w:lineRule="auto"/>
        <w:ind w:left="420" w:leftChars="200" w:firstLine="240" w:firstLineChars="100"/>
        <w:rPr>
          <w:rFonts w:hint="default" w:asciiTheme="majorEastAsia" w:hAnsiTheme="majorEastAsia" w:eastAsiaTheme="majorEastAsia"/>
          <w:sz w:val="24"/>
        </w:rPr>
      </w:pPr>
      <w:r>
        <w:rPr>
          <w:rFonts w:hint="default" w:asciiTheme="majorEastAsia" w:hAnsiTheme="majorEastAsia" w:eastAsiaTheme="majorEastAsia"/>
          <w:sz w:val="24"/>
        </w:rPr>
        <w:t xml:space="preserve"> </w:t>
      </w:r>
      <w:r>
        <w:rPr>
          <w:rFonts w:hint="default" w:asciiTheme="majorEastAsia" w:hAnsiTheme="majorEastAsia" w:eastAsiaTheme="majorEastAsia"/>
          <w:sz w:val="24"/>
        </w:rPr>
        <w:t>支援シートに記載された個人情報は、本人の適切な支援</w:t>
      </w:r>
      <w:r>
        <w:rPr>
          <w:rFonts w:hint="eastAsia" w:asciiTheme="majorEastAsia" w:hAnsiTheme="majorEastAsia" w:eastAsiaTheme="majorEastAsia"/>
          <w:sz w:val="24"/>
        </w:rPr>
        <w:t>及</w:t>
      </w:r>
      <w:r>
        <w:rPr>
          <w:rFonts w:hint="default" w:asciiTheme="majorEastAsia" w:hAnsiTheme="majorEastAsia" w:eastAsiaTheme="majorEastAsia"/>
          <w:sz w:val="24"/>
        </w:rPr>
        <w:t>び円滑な連携を目的として、以下の支援者</w:t>
      </w:r>
      <w:r>
        <w:rPr>
          <w:rFonts w:hint="eastAsia" w:asciiTheme="majorEastAsia" w:hAnsiTheme="majorEastAsia" w:eastAsiaTheme="majorEastAsia"/>
          <w:sz w:val="24"/>
        </w:rPr>
        <w:t>及</w:t>
      </w:r>
      <w:r>
        <w:rPr>
          <w:rFonts w:hint="default" w:asciiTheme="majorEastAsia" w:hAnsiTheme="majorEastAsia" w:eastAsiaTheme="majorEastAsia"/>
          <w:sz w:val="24"/>
        </w:rPr>
        <w:t>び関係機関に限り提供されます。</w:t>
      </w:r>
    </w:p>
    <w:p>
      <w:pPr>
        <w:pStyle w:val="0"/>
        <w:spacing w:line="276" w:lineRule="auto"/>
        <w:ind w:left="210" w:leftChars="100"/>
        <w:rPr>
          <w:rFonts w:hint="default" w:asciiTheme="majorEastAsia" w:hAnsiTheme="majorEastAsia" w:eastAsiaTheme="majorEastAsia"/>
          <w:sz w:val="24"/>
        </w:rPr>
      </w:pPr>
      <w:r>
        <w:rPr>
          <w:rFonts w:hint="eastAsia" w:asciiTheme="majorEastAsia" w:hAnsiTheme="majorEastAsia" w:eastAsiaTheme="majorEastAsia"/>
          <w:sz w:val="24"/>
        </w:rPr>
        <w:t>２．</w:t>
      </w:r>
      <w:r>
        <w:rPr>
          <w:rFonts w:hint="default" w:asciiTheme="majorEastAsia" w:hAnsiTheme="majorEastAsia" w:eastAsiaTheme="majorEastAsia"/>
          <w:sz w:val="24"/>
        </w:rPr>
        <w:t>提供先</w:t>
      </w:r>
      <w:r>
        <w:rPr>
          <w:rFonts w:hint="eastAsia" w:asciiTheme="majorEastAsia" w:hAnsiTheme="majorEastAsia" w:eastAsiaTheme="majorEastAsia"/>
          <w:sz w:val="24"/>
        </w:rPr>
        <w:t>（様式１、様式２）</w:t>
      </w:r>
    </w:p>
    <w:p>
      <w:pPr>
        <w:pStyle w:val="0"/>
        <w:spacing w:line="276" w:lineRule="auto"/>
        <w:ind w:left="420" w:leftChars="200" w:firstLine="240" w:firstLineChars="100"/>
        <w:rPr>
          <w:rFonts w:hint="default" w:asciiTheme="majorEastAsia" w:hAnsiTheme="majorEastAsia" w:eastAsiaTheme="majorEastAsia"/>
          <w:sz w:val="24"/>
        </w:rPr>
      </w:pPr>
      <w:r>
        <w:rPr>
          <w:rFonts w:hint="default" w:asciiTheme="majorEastAsia" w:hAnsiTheme="majorEastAsia" w:eastAsiaTheme="majorEastAsia"/>
          <w:sz w:val="24"/>
        </w:rPr>
        <w:t>本人の支援</w:t>
      </w:r>
      <w:r>
        <w:rPr>
          <w:rFonts w:hint="eastAsia" w:asciiTheme="majorEastAsia" w:hAnsiTheme="majorEastAsia" w:eastAsiaTheme="majorEastAsia"/>
          <w:sz w:val="24"/>
        </w:rPr>
        <w:t>に関わる</w:t>
      </w:r>
      <w:r>
        <w:rPr>
          <w:rFonts w:hint="default" w:asciiTheme="majorEastAsia" w:hAnsiTheme="majorEastAsia" w:eastAsiaTheme="majorEastAsia"/>
          <w:sz w:val="24"/>
        </w:rPr>
        <w:t>職員・専門職</w:t>
      </w:r>
      <w:r>
        <w:rPr>
          <w:rFonts w:hint="eastAsia" w:asciiTheme="majorEastAsia" w:hAnsiTheme="majorEastAsia" w:eastAsiaTheme="majorEastAsia"/>
          <w:sz w:val="24"/>
        </w:rPr>
        <w:t>・関係機関</w:t>
      </w:r>
      <w:r>
        <w:rPr>
          <w:rFonts w:hint="default" w:asciiTheme="majorEastAsia" w:hAnsiTheme="majorEastAsia" w:eastAsiaTheme="majorEastAsia"/>
          <w:sz w:val="24"/>
        </w:rPr>
        <w:t>（例：相談員、医療従事者、福祉サービス提供者</w:t>
      </w:r>
      <w:r>
        <w:rPr>
          <w:rFonts w:hint="eastAsia" w:asciiTheme="majorEastAsia" w:hAnsiTheme="majorEastAsia" w:eastAsiaTheme="majorEastAsia"/>
          <w:sz w:val="24"/>
        </w:rPr>
        <w:t>、行政機関、消防署、警察署</w:t>
      </w:r>
      <w:r>
        <w:rPr>
          <w:rFonts w:hint="default" w:asciiTheme="majorEastAsia" w:hAnsiTheme="majorEastAsia" w:eastAsiaTheme="majorEastAsia"/>
          <w:sz w:val="24"/>
        </w:rPr>
        <w:t>）</w:t>
      </w:r>
      <w:r>
        <w:rPr>
          <w:rFonts w:hint="eastAsia" w:asciiTheme="majorEastAsia" w:hAnsiTheme="majorEastAsia" w:eastAsiaTheme="majorEastAsia"/>
          <w:sz w:val="24"/>
        </w:rPr>
        <w:t>、及び本人が指定する個人</w:t>
      </w:r>
      <w:bookmarkStart w:id="0" w:name="_GoBack"/>
      <w:bookmarkEnd w:id="0"/>
    </w:p>
    <w:p>
      <w:pPr>
        <w:pStyle w:val="0"/>
        <w:spacing w:line="276" w:lineRule="auto"/>
        <w:rPr>
          <w:rFonts w:hint="default" w:asciiTheme="majorEastAsia" w:hAnsiTheme="majorEastAsia" w:eastAsiaTheme="majorEastAsia"/>
          <w:sz w:val="22"/>
        </w:rPr>
      </w:pPr>
    </w:p>
    <w:sectPr>
      <w:footerReference r:id="rId6" w:type="default"/>
      <w:pgSz w:w="11907" w:h="16839"/>
      <w:pgMar w:top="851" w:right="992" w:bottom="851" w:left="851" w:header="851"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Mgen+ 1c regular">
    <w:panose1 w:val="00000000000000000000"/>
    <w:charset w:val="80"/>
    <w:family w:val="modern"/>
    <w:pitch w:val="fixed"/>
    <w:sig w:usb0="00000000" w:usb1="00000000" w:usb2="00000000" w:usb3="00000000" w:csb0="BF011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rPr>
    </w:pPr>
    <w:r>
      <w:rPr>
        <w:rFonts w:hint="eastAsia"/>
      </w:rPr>
      <w:t>魚沼市における『身寄り』問題への対応支援に関するガイドライン</w:t>
    </w: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57CC9B6"/>
    <w:lvl w:ilvl="0" w:tplc="44804D3A">
      <w:numFmt w:val="bullet"/>
      <w:lvlText w:val="※"/>
      <w:lvlJc w:val="left"/>
      <w:pPr>
        <w:ind w:left="840" w:hanging="360"/>
      </w:pPr>
      <w:rPr>
        <w:rFonts w:hint="eastAsia" w:ascii="ＭＳ ゴシック" w:hAnsi="ＭＳ ゴシック" w:eastAsia="ＭＳ ゴシック"/>
      </w:rPr>
    </w:lvl>
    <w:lvl w:ilvl="1" w:tplc="0409000B">
      <w:numFmt w:val="bullet"/>
      <w:lvlText w:val=""/>
      <w:lvlJc w:val="left"/>
      <w:pPr>
        <w:ind w:left="1360" w:hanging="440"/>
      </w:pPr>
      <w:rPr>
        <w:rFonts w:hint="default" w:ascii="Wingdings" w:hAnsi="Wingdings"/>
      </w:rPr>
    </w:lvl>
    <w:lvl w:ilvl="2" w:tplc="0409000D">
      <w:numFmt w:val="bullet"/>
      <w:lvlText w:val=""/>
      <w:lvlJc w:val="left"/>
      <w:pPr>
        <w:ind w:left="1800" w:hanging="440"/>
      </w:pPr>
      <w:rPr>
        <w:rFonts w:hint="default" w:ascii="Wingdings" w:hAnsi="Wingdings"/>
      </w:rPr>
    </w:lvl>
    <w:lvl w:ilvl="3" w:tplc="04090001">
      <w:numFmt w:val="bullet"/>
      <w:lvlText w:val=""/>
      <w:lvlJc w:val="left"/>
      <w:pPr>
        <w:ind w:left="2240" w:hanging="440"/>
      </w:pPr>
      <w:rPr>
        <w:rFonts w:hint="default" w:ascii="Wingdings" w:hAnsi="Wingdings"/>
      </w:rPr>
    </w:lvl>
    <w:lvl w:ilvl="4" w:tplc="0409000B">
      <w:numFmt w:val="bullet"/>
      <w:lvlText w:val=""/>
      <w:lvlJc w:val="left"/>
      <w:pPr>
        <w:ind w:left="2680" w:hanging="440"/>
      </w:pPr>
      <w:rPr>
        <w:rFonts w:hint="default" w:ascii="Wingdings" w:hAnsi="Wingdings"/>
      </w:rPr>
    </w:lvl>
    <w:lvl w:ilvl="5" w:tplc="0409000D">
      <w:numFmt w:val="bullet"/>
      <w:lvlText w:val=""/>
      <w:lvlJc w:val="left"/>
      <w:pPr>
        <w:ind w:left="3120" w:hanging="440"/>
      </w:pPr>
      <w:rPr>
        <w:rFonts w:hint="default" w:ascii="Wingdings" w:hAnsi="Wingdings"/>
      </w:rPr>
    </w:lvl>
    <w:lvl w:ilvl="6" w:tplc="04090001">
      <w:numFmt w:val="bullet"/>
      <w:lvlText w:val=""/>
      <w:lvlJc w:val="left"/>
      <w:pPr>
        <w:ind w:left="3560" w:hanging="440"/>
      </w:pPr>
      <w:rPr>
        <w:rFonts w:hint="default" w:ascii="Wingdings" w:hAnsi="Wingdings"/>
      </w:rPr>
    </w:lvl>
    <w:lvl w:ilvl="7" w:tplc="0409000B">
      <w:numFmt w:val="bullet"/>
      <w:lvlText w:val=""/>
      <w:lvlJc w:val="left"/>
      <w:pPr>
        <w:ind w:left="4000" w:hanging="440"/>
      </w:pPr>
      <w:rPr>
        <w:rFonts w:hint="default" w:ascii="Wingdings" w:hAnsi="Wingdings"/>
      </w:rPr>
    </w:lvl>
    <w:lvl w:ilvl="8" w:tplc="0409000D">
      <w:numFmt w:val="bullet"/>
      <w:lvlText w:val=""/>
      <w:lvlJc w:val="left"/>
      <w:pPr>
        <w:ind w:left="4440" w:hanging="44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4</Pages>
  <Words>7</Words>
  <Characters>2743</Characters>
  <Application>JUST Note</Application>
  <Lines>140</Lines>
  <Paragraphs>56</Paragraphs>
  <CharactersWithSpaces>2752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100567</cp:lastModifiedBy>
  <dcterms:modified xsi:type="dcterms:W3CDTF">2026-07-14T02:41:48Z</dcterms:modified>
  <cp:revision>0</cp:revision>
</cp:coreProperties>
</file>