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7.7.22</w:t>
      </w:r>
      <w:r>
        <w:rPr>
          <w:rFonts w:hint="eastAsia"/>
        </w:rPr>
        <w:t>農政課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この手引きは国より示された多面的機能支払交付金・手引きのひな型を基本的にそのまま使用しております。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一部、魚沼市の</w:t>
      </w:r>
      <w:r>
        <w:rPr>
          <w:rFonts w:hint="eastAsia"/>
        </w:rPr>
        <w:t>QA</w:t>
      </w:r>
      <w:r>
        <w:rPr>
          <w:rFonts w:hint="eastAsia"/>
        </w:rPr>
        <w:t>等でお伝えしている部分と合わないケースもあります。見積書・入札案件で魚沼市独自のやり方あり。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本手引きは、事務を進めるうえで参考となりますので、是非ご確認ください。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金銭出納簿、活動記録等の作成方法も記載されております。</w:t>
      </w: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101358</cp:lastModifiedBy>
  <dcterms:modified xsi:type="dcterms:W3CDTF">2025-07-22T04:24:05Z</dcterms:modified>
  <cp:revision>0</cp:revision>
</cp:coreProperties>
</file>